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/>
    <w:p w:rsidR="00584EDD" w:rsidRDefault="00584EDD"/>
    <w:p w:rsidR="00584EDD" w:rsidRDefault="00584EDD"/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584EDD">
      <w:pPr>
        <w:pStyle w:val="TOCHeading"/>
        <w:spacing w:before="0"/>
        <w:rPr>
          <w:rFonts w:ascii="Calibri" w:hAnsi="Calibri"/>
          <w:sz w:val="22"/>
          <w:szCs w:val="22"/>
          <w:lang w:val="hr-HR"/>
        </w:rPr>
      </w:pPr>
    </w:p>
    <w:p w:rsidR="00584EDD" w:rsidRDefault="0012531F">
      <w:pPr>
        <w:jc w:val="center"/>
        <w:rPr>
          <w:rFonts w:eastAsia="Times New Roman"/>
          <w:color w:val="0070C0"/>
          <w:sz w:val="32"/>
          <w:szCs w:val="32"/>
        </w:rPr>
      </w:pPr>
      <w:r>
        <w:rPr>
          <w:rFonts w:eastAsia="Times New Roman"/>
          <w:color w:val="0070C0"/>
          <w:sz w:val="32"/>
          <w:szCs w:val="32"/>
        </w:rPr>
        <w:t xml:space="preserve">ODLUKA </w:t>
      </w:r>
    </w:p>
    <w:p w:rsidR="00584EDD" w:rsidRDefault="0012531F">
      <w:pPr>
        <w:jc w:val="center"/>
        <w:rPr>
          <w:rFonts w:eastAsia="Times New Roman"/>
          <w:color w:val="0070C0"/>
          <w:sz w:val="32"/>
          <w:szCs w:val="32"/>
        </w:rPr>
      </w:pPr>
      <w:r>
        <w:rPr>
          <w:rFonts w:eastAsia="Times New Roman"/>
          <w:color w:val="0070C0"/>
          <w:sz w:val="32"/>
          <w:szCs w:val="32"/>
        </w:rPr>
        <w:t>O CIJENI VODNIH USLUGA</w:t>
      </w:r>
    </w:p>
    <w:p w:rsidR="00584EDD" w:rsidRDefault="00584EDD">
      <w:pPr>
        <w:rPr>
          <w:sz w:val="22"/>
          <w:szCs w:val="22"/>
        </w:rPr>
      </w:pPr>
    </w:p>
    <w:p w:rsidR="00584EDD" w:rsidRDefault="00584EDD">
      <w:pPr>
        <w:pStyle w:val="TOCHeading"/>
        <w:rPr>
          <w:rFonts w:ascii="Calibri" w:hAnsi="Calibri"/>
          <w:sz w:val="22"/>
          <w:szCs w:val="22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rPr>
          <w:sz w:val="22"/>
          <w:szCs w:val="22"/>
          <w:lang w:val="en-US"/>
        </w:rPr>
      </w:pPr>
    </w:p>
    <w:p w:rsidR="00584EDD" w:rsidRDefault="00584EDD">
      <w:pPr>
        <w:spacing w:after="0" w:line="336" w:lineRule="atLeast"/>
        <w:jc w:val="both"/>
        <w:rPr>
          <w:sz w:val="22"/>
          <w:szCs w:val="22"/>
          <w:lang w:val="en-US"/>
        </w:rPr>
      </w:pPr>
    </w:p>
    <w:p w:rsidR="00584EDD" w:rsidRDefault="0012531F">
      <w:pPr>
        <w:spacing w:before="240" w:after="0" w:line="336" w:lineRule="atLeast"/>
        <w:jc w:val="center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Samobor, </w:t>
      </w:r>
      <w:r w:rsidR="00C575E9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svibanj 2023</w:t>
      </w:r>
      <w:r w:rsidR="00270588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.</w:t>
      </w:r>
    </w:p>
    <w:p w:rsidR="00584EDD" w:rsidRDefault="0012531F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lastRenderedPageBreak/>
        <w:t xml:space="preserve">Na temelju članka 109. stavci 2. do 5. Zakona o vodnim </w:t>
      </w:r>
      <w:r w:rsidR="006E5A02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uslugama („Narodne novine“ br. </w:t>
      </w: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66/19) i članka 11. Izjave o osnivanju </w:t>
      </w:r>
      <w:r w:rsidR="00403197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trgovačkog </w:t>
      </w: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društva </w:t>
      </w:r>
      <w:r w:rsidR="007E110A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Odvodnje Samobor</w:t>
      </w: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 d.o.o.,</w:t>
      </w:r>
      <w:r w:rsidR="006E5A02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 a uz prethodnu suglasnost Nadzornog odbora</w:t>
      </w:r>
      <w:r w:rsidR="007E110A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 i gradonačelnice grada Samobora,</w:t>
      </w: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6E5A02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direktor donosi</w:t>
      </w:r>
    </w:p>
    <w:p w:rsidR="007E110A" w:rsidRDefault="007E110A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</w:p>
    <w:p w:rsidR="00584EDD" w:rsidRDefault="00584EDD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</w:p>
    <w:p w:rsidR="00584EDD" w:rsidRDefault="0012531F" w:rsidP="007E110A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ODLUKU O CIJENI VODNIH USLUGA</w:t>
      </w:r>
    </w:p>
    <w:p w:rsidR="00584EDD" w:rsidRDefault="00584EDD" w:rsidP="007E11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</w:p>
    <w:p w:rsidR="00155FD6" w:rsidRDefault="00155FD6" w:rsidP="007E11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</w:p>
    <w:p w:rsidR="00584EDD" w:rsidRDefault="0012531F" w:rsidP="007E11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I</w:t>
      </w:r>
      <w:r w:rsidR="007E110A"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.</w:t>
      </w:r>
    </w:p>
    <w:p w:rsidR="00584EDD" w:rsidRDefault="0012531F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Ovom se Odlukom</w:t>
      </w:r>
      <w:r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određuju vrste vodnih usluga koje se pružaju na području aglomeracije</w:t>
      </w:r>
      <w:r w:rsidR="001C1B61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 Samobor</w:t>
      </w:r>
      <w:r w:rsidR="001C1B61" w:rsidRPr="001C1B61">
        <w:t xml:space="preserve"> </w:t>
      </w:r>
      <w:r w:rsidR="001C1B61" w:rsidRPr="001C1B61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i njoj gravitirajućih područja</w:t>
      </w:r>
      <w:r w:rsidR="001C1B61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, visinu cijene (tarifa vodne usluge), način obračuna i plaćanja usluge i iskaz javnih davanja koja se obračunavaju i naplaćuju uz cijenu usluge.</w:t>
      </w:r>
    </w:p>
    <w:p w:rsidR="00584EDD" w:rsidRDefault="00584EDD" w:rsidP="007E11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</w:p>
    <w:p w:rsidR="00584EDD" w:rsidRDefault="0012531F" w:rsidP="007E11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II</w:t>
      </w:r>
      <w:r w:rsidR="007E110A"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.</w:t>
      </w:r>
    </w:p>
    <w:p w:rsidR="00E51CA3" w:rsidRPr="00E51CA3" w:rsidRDefault="0012531F" w:rsidP="00E51CA3">
      <w:pPr>
        <w:spacing w:after="0" w:line="240" w:lineRule="auto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Na području </w:t>
      </w:r>
      <w:r w:rsidR="001C1B61" w:rsidRPr="001C1B61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aglomeracije Samobor i njoj gravitirajućih područja</w:t>
      </w:r>
      <w:r w:rsidR="001C1B61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pružaju se vodne usluge javne odvodnje bez usl</w:t>
      </w:r>
      <w:r w:rsidR="006E5A02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uga pročišćavanja otpadnih voda</w:t>
      </w: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 i usluge crpljenja i odvoza otpadnih voda iz</w:t>
      </w:r>
      <w:r w:rsidR="006E5A02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 individualnih sustava odvodnje.</w:t>
      </w:r>
    </w:p>
    <w:p w:rsidR="00E51CA3" w:rsidRDefault="00E51CA3" w:rsidP="00E51C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</w:p>
    <w:p w:rsidR="00584EDD" w:rsidRPr="00E51CA3" w:rsidRDefault="0012531F" w:rsidP="00E51C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7F7F7F" w:themeColor="text1" w:themeTint="80"/>
          <w:sz w:val="22"/>
          <w:szCs w:val="22"/>
        </w:rPr>
      </w:pPr>
      <w:r w:rsidRPr="00E51CA3">
        <w:rPr>
          <w:rFonts w:asciiTheme="minorHAnsi" w:eastAsia="Times New Roman" w:hAnsiTheme="minorHAnsi" w:cstheme="minorHAnsi"/>
          <w:b/>
          <w:color w:val="7F7F7F" w:themeColor="text1" w:themeTint="80"/>
          <w:sz w:val="22"/>
          <w:szCs w:val="22"/>
        </w:rPr>
        <w:t>III</w:t>
      </w:r>
      <w:r w:rsidR="007E110A" w:rsidRPr="00E51CA3">
        <w:rPr>
          <w:rFonts w:asciiTheme="minorHAnsi" w:eastAsia="Times New Roman" w:hAnsiTheme="minorHAnsi" w:cstheme="minorHAnsi"/>
          <w:b/>
          <w:color w:val="7F7F7F" w:themeColor="text1" w:themeTint="80"/>
          <w:sz w:val="22"/>
          <w:szCs w:val="22"/>
        </w:rPr>
        <w:t>.</w:t>
      </w:r>
    </w:p>
    <w:p w:rsidR="00584EDD" w:rsidRPr="00E51CA3" w:rsidRDefault="0012531F" w:rsidP="00E51CA3">
      <w:pPr>
        <w:spacing w:after="0" w:line="240" w:lineRule="auto"/>
        <w:jc w:val="both"/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</w:pPr>
      <w:r w:rsidRPr="00E51CA3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Tarifa vodnih usluga za </w:t>
      </w:r>
      <w:r w:rsidR="00E51CA3">
        <w:rPr>
          <w:rFonts w:asciiTheme="minorHAnsi" w:eastAsia="Times New Roman" w:hAnsiTheme="minorHAnsi" w:cstheme="minorHAnsi"/>
          <w:b/>
          <w:color w:val="7F7F7F" w:themeColor="text1" w:themeTint="80"/>
          <w:sz w:val="22"/>
          <w:szCs w:val="22"/>
        </w:rPr>
        <w:t>korisnike u stambenim prostorima (kućanstva)</w:t>
      </w:r>
      <w:r w:rsidRPr="00E51CA3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 određuje se u visinama, bez uključenog poreza na dodanu vrijednost, kako slijedi: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5380"/>
        <w:gridCol w:w="960"/>
        <w:gridCol w:w="840"/>
        <w:gridCol w:w="900"/>
        <w:gridCol w:w="1260"/>
      </w:tblGrid>
      <w:tr w:rsidR="00E51CA3" w:rsidRPr="00E51CA3" w:rsidTr="00FC0F7E">
        <w:trPr>
          <w:trHeight w:val="30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584EDD" w:rsidRPr="00FC0F7E" w:rsidRDefault="0012531F" w:rsidP="00E51CA3">
            <w:pPr>
              <w:spacing w:after="0" w:line="240" w:lineRule="auto"/>
              <w:ind w:left="-105"/>
              <w:jc w:val="both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  <w:r w:rsidRPr="00FC0F7E"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  <w:t xml:space="preserve">1. </w:t>
            </w:r>
            <w:r w:rsidR="007E110A" w:rsidRPr="00FC0F7E"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  <w:t>fiksni dio osnovne cijene vodne usluge</w:t>
            </w:r>
            <w:r w:rsidRPr="00FC0F7E"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  <w:t xml:space="preserve"> – odvodnje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4EDD" w:rsidRPr="00FC0F7E" w:rsidRDefault="00584EDD" w:rsidP="00E51CA3">
            <w:pPr>
              <w:spacing w:after="0" w:line="240" w:lineRule="auto"/>
              <w:jc w:val="right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84EDD" w:rsidRPr="00FC0F7E" w:rsidRDefault="00584EDD" w:rsidP="00E51CA3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84EDD" w:rsidRPr="00DE3F46" w:rsidRDefault="0012531F" w:rsidP="00E51CA3">
            <w:pPr>
              <w:spacing w:after="0" w:line="240" w:lineRule="auto"/>
              <w:jc w:val="right"/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0,56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4EDD" w:rsidRPr="00DE3F46" w:rsidRDefault="00284C78" w:rsidP="00E51CA3">
            <w:pPr>
              <w:spacing w:after="0" w:line="240" w:lineRule="auto"/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mj</w:t>
            </w:r>
            <w:proofErr w:type="spellEnd"/>
          </w:p>
        </w:tc>
      </w:tr>
      <w:tr w:rsidR="00E51CA3" w:rsidRPr="00E51CA3" w:rsidTr="00FC0F7E">
        <w:trPr>
          <w:trHeight w:val="278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584EDD" w:rsidRPr="00FC0F7E" w:rsidRDefault="0012531F" w:rsidP="00E51CA3">
            <w:pPr>
              <w:spacing w:after="0" w:line="240" w:lineRule="auto"/>
              <w:ind w:left="-105"/>
              <w:jc w:val="both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  <w:r w:rsidRPr="00FC0F7E"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  <w:t xml:space="preserve">2. </w:t>
            </w:r>
            <w:r w:rsidR="0077092B" w:rsidRPr="00FC0F7E"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  <w:t>varijabilni dio cijene vodne usluge - odvodnje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4EDD" w:rsidRPr="00FC0F7E" w:rsidRDefault="00584EDD" w:rsidP="00E51CA3">
            <w:pPr>
              <w:spacing w:after="0" w:line="240" w:lineRule="auto"/>
              <w:jc w:val="right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84EDD" w:rsidRPr="00FC0F7E" w:rsidRDefault="00584EDD" w:rsidP="00E51CA3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84EDD" w:rsidRPr="00DE3F46" w:rsidRDefault="00AF3DF6" w:rsidP="00DC41C6">
            <w:pPr>
              <w:spacing w:after="0" w:line="240" w:lineRule="auto"/>
              <w:jc w:val="right"/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0,</w:t>
            </w:r>
            <w:r w:rsidR="00DC41C6"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4EDD" w:rsidRPr="00DE3F46" w:rsidRDefault="0012531F" w:rsidP="00E51CA3">
            <w:pPr>
              <w:spacing w:after="0" w:line="240" w:lineRule="auto"/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m</w:t>
            </w:r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  <w:tr w:rsidR="00C575E9" w:rsidRPr="00E51CA3" w:rsidTr="00FC0F7E">
        <w:trPr>
          <w:trHeight w:val="269"/>
        </w:trPr>
        <w:tc>
          <w:tcPr>
            <w:tcW w:w="9340" w:type="dxa"/>
            <w:gridSpan w:val="5"/>
            <w:shd w:val="clear" w:color="auto" w:fill="auto"/>
            <w:noWrap/>
            <w:vAlign w:val="bottom"/>
            <w:hideMark/>
          </w:tcPr>
          <w:p w:rsidR="00C575E9" w:rsidRPr="00FC0F7E" w:rsidRDefault="00C575E9" w:rsidP="00C575E9">
            <w:pPr>
              <w:spacing w:after="0" w:line="240" w:lineRule="auto"/>
              <w:ind w:left="-120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FC0F7E"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  <w:t>3. cijena vodne usluge crpljenja i odvoza otpadnih voda iz individualnih sustava odvodnje:</w:t>
            </w:r>
          </w:p>
        </w:tc>
      </w:tr>
      <w:tr w:rsidR="00E51CA3" w:rsidRPr="00E51CA3" w:rsidTr="00FC0F7E">
        <w:trPr>
          <w:trHeight w:val="30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584EDD" w:rsidRPr="00FC0F7E" w:rsidRDefault="0012531F" w:rsidP="00904D3F">
            <w:pPr>
              <w:spacing w:after="0" w:line="240" w:lineRule="auto"/>
              <w:jc w:val="both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  <w:r w:rsidRPr="00FC0F7E"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  <w:t xml:space="preserve">    - do 5 km</w:t>
            </w:r>
            <w:r w:rsidR="00C575E9" w:rsidRPr="00FC0F7E"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4EDD" w:rsidRPr="00FC0F7E" w:rsidRDefault="00584EDD" w:rsidP="00E51CA3">
            <w:pPr>
              <w:spacing w:after="0" w:line="240" w:lineRule="auto"/>
              <w:jc w:val="right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84EDD" w:rsidRPr="00FC0F7E" w:rsidRDefault="00584EDD" w:rsidP="00E51CA3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84EDD" w:rsidRPr="00DE3F46" w:rsidRDefault="00DC41C6" w:rsidP="00E51CA3">
            <w:pPr>
              <w:spacing w:after="0" w:line="240" w:lineRule="auto"/>
              <w:jc w:val="right"/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5,31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4EDD" w:rsidRPr="00DE3F46" w:rsidRDefault="0012531F" w:rsidP="00E51CA3">
            <w:pPr>
              <w:spacing w:after="0" w:line="240" w:lineRule="auto"/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m</w:t>
            </w:r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  <w:tr w:rsidR="00E51CA3" w:rsidRPr="00E51CA3" w:rsidTr="00FC0F7E">
        <w:trPr>
          <w:trHeight w:val="30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584EDD" w:rsidRPr="00FC0F7E" w:rsidRDefault="0012531F" w:rsidP="00E51CA3">
            <w:pPr>
              <w:spacing w:after="0" w:line="240" w:lineRule="auto"/>
              <w:jc w:val="both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  <w:r w:rsidRPr="00FC0F7E"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  <w:t xml:space="preserve">    - od 5 do 10 km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4EDD" w:rsidRPr="00FC0F7E" w:rsidRDefault="00584EDD" w:rsidP="00E51CA3">
            <w:pPr>
              <w:spacing w:after="0" w:line="240" w:lineRule="auto"/>
              <w:jc w:val="right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84EDD" w:rsidRPr="00FC0F7E" w:rsidRDefault="00584EDD" w:rsidP="00E51CA3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84EDD" w:rsidRPr="00DE3F46" w:rsidRDefault="00DC41C6" w:rsidP="00E51CA3">
            <w:pPr>
              <w:spacing w:after="0" w:line="240" w:lineRule="auto"/>
              <w:jc w:val="right"/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6,31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4EDD" w:rsidRPr="00DE3F46" w:rsidRDefault="0012531F" w:rsidP="00E51CA3">
            <w:pPr>
              <w:spacing w:after="0" w:line="240" w:lineRule="auto"/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m</w:t>
            </w:r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  <w:tr w:rsidR="00E51CA3" w:rsidRPr="00E51CA3" w:rsidTr="00FC0F7E">
        <w:trPr>
          <w:trHeight w:val="30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584EDD" w:rsidRPr="00FC0F7E" w:rsidRDefault="0012531F" w:rsidP="00E51CA3">
            <w:pPr>
              <w:spacing w:after="0" w:line="240" w:lineRule="auto"/>
              <w:jc w:val="both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  <w:r w:rsidRPr="00FC0F7E"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  <w:t xml:space="preserve">    - od 10 do 15 km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4EDD" w:rsidRPr="00FC0F7E" w:rsidRDefault="00584EDD" w:rsidP="00E51CA3">
            <w:pPr>
              <w:spacing w:after="0" w:line="240" w:lineRule="auto"/>
              <w:jc w:val="right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84EDD" w:rsidRPr="00FC0F7E" w:rsidRDefault="00584EDD" w:rsidP="00E51CA3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84EDD" w:rsidRPr="00DE3F46" w:rsidRDefault="00DC41C6" w:rsidP="00E51CA3">
            <w:pPr>
              <w:spacing w:after="0" w:line="240" w:lineRule="auto"/>
              <w:jc w:val="right"/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7,32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4EDD" w:rsidRPr="00DE3F46" w:rsidRDefault="0012531F" w:rsidP="00E51CA3">
            <w:pPr>
              <w:spacing w:after="0" w:line="240" w:lineRule="auto"/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m</w:t>
            </w:r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  <w:tr w:rsidR="00E51CA3" w:rsidRPr="00E51CA3" w:rsidTr="00FC0F7E">
        <w:trPr>
          <w:trHeight w:val="30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584EDD" w:rsidRPr="00FC0F7E" w:rsidRDefault="0012531F" w:rsidP="00E51CA3">
            <w:pPr>
              <w:spacing w:after="0" w:line="240" w:lineRule="auto"/>
              <w:jc w:val="both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  <w:r w:rsidRPr="00FC0F7E"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  <w:t xml:space="preserve">    - 15 km i više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4EDD" w:rsidRPr="00FC0F7E" w:rsidRDefault="00584EDD" w:rsidP="00E51CA3">
            <w:pPr>
              <w:spacing w:after="0" w:line="240" w:lineRule="auto"/>
              <w:jc w:val="right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84EDD" w:rsidRPr="00FC0F7E" w:rsidRDefault="00584EDD" w:rsidP="00E51CA3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84EDD" w:rsidRPr="00DE3F46" w:rsidRDefault="00DC41C6" w:rsidP="00E51CA3">
            <w:pPr>
              <w:spacing w:after="0" w:line="240" w:lineRule="auto"/>
              <w:jc w:val="right"/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9,32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4EDD" w:rsidRPr="00DE3F46" w:rsidRDefault="0012531F" w:rsidP="00E51CA3">
            <w:pPr>
              <w:spacing w:after="0" w:line="240" w:lineRule="auto"/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</w:rPr>
              <w:t>m</w:t>
            </w:r>
            <w:r w:rsidRPr="00DE3F46">
              <w:rPr>
                <w:rFonts w:eastAsia="Times New Roman" w:cs="Calibri"/>
                <w:b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</w:tbl>
    <w:p w:rsidR="00E51CA3" w:rsidRDefault="00E51CA3" w:rsidP="00E51C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/>
          <w:sz w:val="22"/>
          <w:szCs w:val="22"/>
        </w:rPr>
      </w:pPr>
    </w:p>
    <w:p w:rsidR="00E51CA3" w:rsidRDefault="0012531F" w:rsidP="00E51C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808080"/>
          <w:sz w:val="22"/>
          <w:szCs w:val="22"/>
        </w:rPr>
        <w:t>IV</w:t>
      </w:r>
      <w:r w:rsidR="00A97527">
        <w:rPr>
          <w:rFonts w:asciiTheme="minorHAnsi" w:eastAsia="Times New Roman" w:hAnsiTheme="minorHAnsi" w:cstheme="minorHAnsi"/>
          <w:b/>
          <w:color w:val="808080"/>
          <w:sz w:val="22"/>
          <w:szCs w:val="22"/>
        </w:rPr>
        <w:t>.</w:t>
      </w:r>
    </w:p>
    <w:p w:rsidR="00E51CA3" w:rsidRPr="00E51CA3" w:rsidRDefault="00E51CA3" w:rsidP="00E51CA3">
      <w:pPr>
        <w:spacing w:after="0" w:line="240" w:lineRule="auto"/>
        <w:jc w:val="both"/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</w:pPr>
      <w:r w:rsidRPr="00E51CA3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Tarifa vodnih usluga za </w:t>
      </w:r>
      <w:r>
        <w:rPr>
          <w:rFonts w:asciiTheme="minorHAnsi" w:eastAsia="Times New Roman" w:hAnsiTheme="minorHAnsi" w:cstheme="minorHAnsi"/>
          <w:b/>
          <w:color w:val="7F7F7F" w:themeColor="text1" w:themeTint="80"/>
          <w:sz w:val="22"/>
          <w:szCs w:val="22"/>
        </w:rPr>
        <w:t>korisnike u stambenim prostorima (socijalna cijena)</w:t>
      </w:r>
      <w:r w:rsidRPr="00E51CA3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 određuje se u visinama, bez uključenog poreza na dodanu vrijednost, kako slijedi: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5380"/>
        <w:gridCol w:w="960"/>
        <w:gridCol w:w="840"/>
        <w:gridCol w:w="900"/>
        <w:gridCol w:w="1260"/>
      </w:tblGrid>
      <w:tr w:rsidR="007D5747" w:rsidRPr="00E51CA3" w:rsidTr="00B15B72">
        <w:trPr>
          <w:trHeight w:val="30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7D5747" w:rsidRPr="00E51CA3" w:rsidRDefault="007D5747" w:rsidP="007D5747">
            <w:pPr>
              <w:spacing w:after="0" w:line="240" w:lineRule="auto"/>
              <w:ind w:left="-105"/>
              <w:jc w:val="both"/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</w:pPr>
            <w:r w:rsidRPr="00E51CA3"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  <w:t>1. fiksni dio osnovne cijene vodne usluge – odvodnje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D5747" w:rsidRPr="00E51CA3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747" w:rsidRPr="00FC0F7E" w:rsidRDefault="007D5747" w:rsidP="007D5747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0,34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mj</w:t>
            </w:r>
            <w:proofErr w:type="spellEnd"/>
          </w:p>
        </w:tc>
      </w:tr>
      <w:tr w:rsidR="007D5747" w:rsidRPr="00E51CA3" w:rsidTr="00B15B72">
        <w:trPr>
          <w:trHeight w:val="267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7D5747" w:rsidRPr="00E51CA3" w:rsidRDefault="007D5747" w:rsidP="007D5747">
            <w:pPr>
              <w:spacing w:after="0" w:line="240" w:lineRule="auto"/>
              <w:ind w:left="-105"/>
              <w:jc w:val="both"/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</w:pPr>
            <w:r w:rsidRPr="00E51CA3"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  <w:t>2. varijabilni dio cijene vodne usluge - odvodnje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D5747" w:rsidRPr="00E51CA3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747" w:rsidRPr="00FC0F7E" w:rsidRDefault="007D5747" w:rsidP="007D5747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0,22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m</w:t>
            </w:r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  <w:tr w:rsidR="00FC0F7E" w:rsidRPr="00E51CA3" w:rsidTr="00B15B72">
        <w:trPr>
          <w:trHeight w:val="285"/>
        </w:trPr>
        <w:tc>
          <w:tcPr>
            <w:tcW w:w="9340" w:type="dxa"/>
            <w:gridSpan w:val="5"/>
            <w:shd w:val="clear" w:color="auto" w:fill="auto"/>
            <w:noWrap/>
            <w:vAlign w:val="bottom"/>
            <w:hideMark/>
          </w:tcPr>
          <w:p w:rsidR="00FC0F7E" w:rsidRPr="00E51CA3" w:rsidRDefault="00FC0F7E" w:rsidP="00FC0F7E">
            <w:pPr>
              <w:spacing w:after="0" w:line="240" w:lineRule="auto"/>
              <w:ind w:left="-120"/>
              <w:rPr>
                <w:rFonts w:ascii="Times New Roman" w:eastAsia="Times New Roman" w:hAnsi="Times New Roman"/>
                <w:color w:val="7F7F7F" w:themeColor="text1" w:themeTint="80"/>
                <w:sz w:val="20"/>
                <w:szCs w:val="20"/>
              </w:rPr>
            </w:pPr>
            <w:r w:rsidRPr="00E51CA3"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  <w:t>3. cijena vodne usluge crpljenja i odvoza otpadnih voda iz individualnih sustava odvodnje:</w:t>
            </w:r>
          </w:p>
        </w:tc>
      </w:tr>
      <w:tr w:rsidR="007D5747" w:rsidRPr="00E51CA3" w:rsidTr="00B15B72">
        <w:trPr>
          <w:trHeight w:val="30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7D5747" w:rsidRPr="00E51CA3" w:rsidRDefault="007D5747" w:rsidP="007D5747">
            <w:pPr>
              <w:spacing w:after="0" w:line="240" w:lineRule="auto"/>
              <w:jc w:val="both"/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</w:pPr>
            <w:r w:rsidRPr="00E51CA3"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  <w:t xml:space="preserve">    - do 5 km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D5747" w:rsidRPr="00E51CA3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747" w:rsidRPr="00FC0F7E" w:rsidRDefault="007D5747" w:rsidP="007D5747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3,19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m</w:t>
            </w:r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  <w:tr w:rsidR="007D5747" w:rsidRPr="00E51CA3" w:rsidTr="00B15B72">
        <w:trPr>
          <w:trHeight w:val="30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7D5747" w:rsidRPr="00E51CA3" w:rsidRDefault="007D5747" w:rsidP="007D5747">
            <w:pPr>
              <w:spacing w:after="0" w:line="240" w:lineRule="auto"/>
              <w:jc w:val="both"/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</w:pPr>
            <w:r w:rsidRPr="00E51CA3"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  <w:t xml:space="preserve">    - od 5 do 10 km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D5747" w:rsidRPr="00E51CA3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747" w:rsidRPr="00FC0F7E" w:rsidRDefault="007D5747" w:rsidP="007D5747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3,79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m</w:t>
            </w:r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  <w:tr w:rsidR="007D5747" w:rsidRPr="00E51CA3" w:rsidTr="00B15B72">
        <w:trPr>
          <w:trHeight w:val="30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7D5747" w:rsidRPr="00E51CA3" w:rsidRDefault="007D5747" w:rsidP="007D5747">
            <w:pPr>
              <w:spacing w:after="0" w:line="240" w:lineRule="auto"/>
              <w:jc w:val="both"/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</w:pPr>
            <w:r w:rsidRPr="00E51CA3"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  <w:t xml:space="preserve">    - od 10 do 15 km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D5747" w:rsidRPr="00E51CA3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747" w:rsidRPr="00FC0F7E" w:rsidRDefault="007D5747" w:rsidP="007D5747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4,39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m</w:t>
            </w:r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  <w:tr w:rsidR="007D5747" w:rsidRPr="00E51CA3" w:rsidTr="00B15B72">
        <w:trPr>
          <w:trHeight w:val="30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7D5747" w:rsidRPr="00E51CA3" w:rsidRDefault="007D5747" w:rsidP="007D5747">
            <w:pPr>
              <w:spacing w:after="0" w:line="240" w:lineRule="auto"/>
              <w:jc w:val="both"/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</w:pPr>
            <w:r w:rsidRPr="00E51CA3"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  <w:t xml:space="preserve">    - 15 km i više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D5747" w:rsidRPr="00E51CA3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747" w:rsidRPr="00FC0F7E" w:rsidRDefault="007D5747" w:rsidP="007D5747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5,59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</w:rPr>
              <w:t>m</w:t>
            </w:r>
            <w:r w:rsidRPr="00DE3F46">
              <w:rPr>
                <w:rFonts w:eastAsia="Times New Roman" w:cs="Calibri"/>
                <w:b/>
                <w:color w:val="7F7F7F" w:themeColor="text1" w:themeTint="80"/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</w:tbl>
    <w:p w:rsidR="00E51CA3" w:rsidRDefault="00E51CA3" w:rsidP="00E51C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808080"/>
          <w:sz w:val="22"/>
          <w:szCs w:val="22"/>
        </w:rPr>
      </w:pPr>
    </w:p>
    <w:p w:rsidR="00E51CA3" w:rsidRDefault="00E51CA3" w:rsidP="00E51C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808080"/>
          <w:sz w:val="22"/>
          <w:szCs w:val="22"/>
        </w:rPr>
        <w:t>V.</w:t>
      </w:r>
    </w:p>
    <w:p w:rsidR="00584EDD" w:rsidRDefault="0012531F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808080"/>
          <w:sz w:val="22"/>
          <w:szCs w:val="22"/>
        </w:rPr>
      </w:pPr>
      <w:r>
        <w:rPr>
          <w:rFonts w:asciiTheme="minorHAnsi" w:eastAsia="Times New Roman" w:hAnsiTheme="minorHAnsi" w:cstheme="minorHAnsi"/>
          <w:color w:val="808080"/>
          <w:sz w:val="22"/>
          <w:szCs w:val="22"/>
        </w:rPr>
        <w:t>Tarifa vodnih usluga za korisnike koji nisu kućanstva (</w:t>
      </w:r>
      <w:r w:rsidRPr="00594CF0">
        <w:rPr>
          <w:rFonts w:asciiTheme="minorHAnsi" w:eastAsia="Times New Roman" w:hAnsiTheme="minorHAnsi" w:cstheme="minorHAnsi"/>
          <w:b/>
          <w:color w:val="808080"/>
          <w:sz w:val="22"/>
          <w:szCs w:val="22"/>
        </w:rPr>
        <w:t>poslovni korisnici</w:t>
      </w:r>
      <w:r>
        <w:rPr>
          <w:rFonts w:asciiTheme="minorHAnsi" w:eastAsia="Times New Roman" w:hAnsiTheme="minorHAnsi" w:cstheme="minorHAnsi"/>
          <w:color w:val="808080"/>
          <w:sz w:val="22"/>
          <w:szCs w:val="22"/>
        </w:rPr>
        <w:t>) određuje se u visinama, bez uključenog poreza na dodanu vrijednost, kako slijedi: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5380"/>
        <w:gridCol w:w="960"/>
        <w:gridCol w:w="840"/>
        <w:gridCol w:w="900"/>
        <w:gridCol w:w="1260"/>
      </w:tblGrid>
      <w:tr w:rsidR="007D5747" w:rsidTr="00B15B72">
        <w:trPr>
          <w:trHeight w:val="30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7D5747" w:rsidRDefault="007D5747" w:rsidP="007D5747">
            <w:pPr>
              <w:spacing w:after="0" w:line="240" w:lineRule="auto"/>
              <w:ind w:left="-105"/>
              <w:jc w:val="both"/>
              <w:rPr>
                <w:rFonts w:eastAsia="Times New Roman" w:cs="Calibri"/>
                <w:color w:val="808080"/>
                <w:sz w:val="22"/>
                <w:szCs w:val="22"/>
              </w:rPr>
            </w:pPr>
            <w:r>
              <w:rPr>
                <w:rFonts w:eastAsia="Times New Roman" w:cs="Calibri"/>
                <w:color w:val="808080"/>
                <w:sz w:val="22"/>
                <w:szCs w:val="22"/>
              </w:rPr>
              <w:t>1. fiksni dio osnovne cijene vodnih usluga – odvodnje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D5747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color w:val="8080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747" w:rsidRPr="00FC0F7E" w:rsidRDefault="007D5747" w:rsidP="007D5747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b/>
                <w:color w:val="8080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1,69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rPr>
                <w:rFonts w:eastAsia="Times New Roman" w:cs="Calibri"/>
                <w:b/>
                <w:color w:val="8080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mj</w:t>
            </w:r>
            <w:proofErr w:type="spellEnd"/>
          </w:p>
        </w:tc>
      </w:tr>
      <w:tr w:rsidR="007D5747" w:rsidTr="00B15B72">
        <w:trPr>
          <w:trHeight w:val="326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7D5747" w:rsidRDefault="007D5747" w:rsidP="007D5747">
            <w:pPr>
              <w:spacing w:after="0" w:line="240" w:lineRule="auto"/>
              <w:ind w:left="-105"/>
              <w:jc w:val="both"/>
              <w:rPr>
                <w:rFonts w:eastAsia="Times New Roman" w:cs="Calibri"/>
                <w:color w:val="808080"/>
                <w:sz w:val="22"/>
                <w:szCs w:val="22"/>
              </w:rPr>
            </w:pPr>
            <w:r>
              <w:rPr>
                <w:rFonts w:eastAsia="Times New Roman" w:cs="Calibri"/>
                <w:color w:val="808080"/>
                <w:sz w:val="22"/>
                <w:szCs w:val="22"/>
              </w:rPr>
              <w:t>2. varijabilni dio cijene vodne usluge - odvodnje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D5747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color w:val="8080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747" w:rsidRPr="00FC0F7E" w:rsidRDefault="007D5747" w:rsidP="007D5747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b/>
                <w:color w:val="8080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0,74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rPr>
                <w:rFonts w:eastAsia="Times New Roman" w:cs="Calibri"/>
                <w:b/>
                <w:color w:val="8080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m</w:t>
            </w:r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  <w:tr w:rsidR="00FC0F7E" w:rsidTr="00B15B72">
        <w:trPr>
          <w:trHeight w:val="275"/>
        </w:trPr>
        <w:tc>
          <w:tcPr>
            <w:tcW w:w="9340" w:type="dxa"/>
            <w:gridSpan w:val="5"/>
            <w:shd w:val="clear" w:color="auto" w:fill="auto"/>
            <w:noWrap/>
            <w:vAlign w:val="bottom"/>
            <w:hideMark/>
          </w:tcPr>
          <w:p w:rsidR="00FC0F7E" w:rsidRDefault="00FC0F7E" w:rsidP="00FC0F7E">
            <w:pPr>
              <w:spacing w:after="0" w:line="240" w:lineRule="auto"/>
              <w:ind w:left="-1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808080"/>
                <w:sz w:val="22"/>
                <w:szCs w:val="22"/>
              </w:rPr>
              <w:t>3. cijena vodne usluge crpljenja i odvoza otpadnih voda iz individualnih sustava odvodnje:</w:t>
            </w:r>
          </w:p>
        </w:tc>
      </w:tr>
      <w:tr w:rsidR="007D5747" w:rsidTr="00B15B72">
        <w:trPr>
          <w:trHeight w:val="30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7D5747" w:rsidRDefault="007D5747" w:rsidP="007D5747">
            <w:pPr>
              <w:spacing w:after="0" w:line="240" w:lineRule="auto"/>
              <w:jc w:val="both"/>
              <w:rPr>
                <w:rFonts w:eastAsia="Times New Roman" w:cs="Calibri"/>
                <w:color w:val="808080"/>
                <w:sz w:val="22"/>
                <w:szCs w:val="22"/>
              </w:rPr>
            </w:pPr>
            <w:r>
              <w:rPr>
                <w:rFonts w:eastAsia="Times New Roman" w:cs="Calibri"/>
                <w:color w:val="808080"/>
                <w:sz w:val="22"/>
                <w:szCs w:val="22"/>
              </w:rPr>
              <w:t xml:space="preserve">    - do 5 km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D5747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color w:val="8080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747" w:rsidRPr="00FC0F7E" w:rsidRDefault="007D5747" w:rsidP="007D5747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b/>
                <w:color w:val="8080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5,31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rPr>
                <w:rFonts w:eastAsia="Times New Roman" w:cs="Calibri"/>
                <w:b/>
                <w:color w:val="8080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m</w:t>
            </w:r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  <w:tr w:rsidR="007D5747" w:rsidTr="00B15B72">
        <w:trPr>
          <w:trHeight w:val="30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7D5747" w:rsidRDefault="007D5747" w:rsidP="007D5747">
            <w:pPr>
              <w:spacing w:after="0" w:line="240" w:lineRule="auto"/>
              <w:jc w:val="both"/>
              <w:rPr>
                <w:rFonts w:eastAsia="Times New Roman" w:cs="Calibri"/>
                <w:color w:val="808080"/>
                <w:sz w:val="22"/>
                <w:szCs w:val="22"/>
              </w:rPr>
            </w:pPr>
            <w:r>
              <w:rPr>
                <w:rFonts w:eastAsia="Times New Roman" w:cs="Calibri"/>
                <w:color w:val="808080"/>
                <w:sz w:val="22"/>
                <w:szCs w:val="22"/>
              </w:rPr>
              <w:t xml:space="preserve">    - od 5 do 10 km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D5747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color w:val="8080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747" w:rsidRPr="00FC0F7E" w:rsidRDefault="007D5747" w:rsidP="007D5747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b/>
                <w:color w:val="8080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6,31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rPr>
                <w:rFonts w:eastAsia="Times New Roman" w:cs="Calibri"/>
                <w:b/>
                <w:color w:val="8080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m</w:t>
            </w:r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  <w:tr w:rsidR="007D5747" w:rsidTr="00B15B72">
        <w:trPr>
          <w:trHeight w:val="30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7D5747" w:rsidRDefault="007D5747" w:rsidP="007D5747">
            <w:pPr>
              <w:spacing w:after="0" w:line="240" w:lineRule="auto"/>
              <w:jc w:val="both"/>
              <w:rPr>
                <w:rFonts w:eastAsia="Times New Roman" w:cs="Calibri"/>
                <w:color w:val="808080"/>
                <w:sz w:val="22"/>
                <w:szCs w:val="22"/>
              </w:rPr>
            </w:pPr>
            <w:r>
              <w:rPr>
                <w:rFonts w:eastAsia="Times New Roman" w:cs="Calibri"/>
                <w:color w:val="808080"/>
                <w:sz w:val="22"/>
                <w:szCs w:val="22"/>
              </w:rPr>
              <w:t xml:space="preserve">    - od 10 do 15 km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D5747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color w:val="8080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747" w:rsidRPr="00FC0F7E" w:rsidRDefault="007D5747" w:rsidP="007D5747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b/>
                <w:color w:val="8080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7,32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rPr>
                <w:rFonts w:eastAsia="Times New Roman" w:cs="Calibri"/>
                <w:b/>
                <w:color w:val="8080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m</w:t>
            </w:r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  <w:tr w:rsidR="007D5747" w:rsidTr="00B15B72">
        <w:trPr>
          <w:trHeight w:val="30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7D5747" w:rsidRDefault="007D5747" w:rsidP="007D5747">
            <w:pPr>
              <w:spacing w:after="0" w:line="240" w:lineRule="auto"/>
              <w:rPr>
                <w:rFonts w:eastAsia="Times New Roman" w:cs="Calibri"/>
                <w:color w:val="808080"/>
                <w:sz w:val="22"/>
                <w:szCs w:val="22"/>
              </w:rPr>
            </w:pPr>
            <w:r>
              <w:rPr>
                <w:rFonts w:eastAsia="Times New Roman" w:cs="Calibri"/>
                <w:color w:val="808080"/>
                <w:sz w:val="22"/>
                <w:szCs w:val="22"/>
              </w:rPr>
              <w:t xml:space="preserve">    - 15 km i više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D5747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color w:val="80808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747" w:rsidRPr="00FC0F7E" w:rsidRDefault="007D5747" w:rsidP="007D5747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jc w:val="right"/>
              <w:rPr>
                <w:rFonts w:eastAsia="Times New Roman" w:cs="Calibri"/>
                <w:b/>
                <w:color w:val="808080"/>
                <w:sz w:val="22"/>
                <w:szCs w:val="22"/>
              </w:rPr>
            </w:pPr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9,32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D5747" w:rsidRPr="00DE3F46" w:rsidRDefault="007D5747" w:rsidP="007D5747">
            <w:pPr>
              <w:spacing w:after="0" w:line="240" w:lineRule="auto"/>
              <w:rPr>
                <w:rFonts w:eastAsia="Times New Roman" w:cs="Calibri"/>
                <w:b/>
                <w:color w:val="808080"/>
                <w:sz w:val="22"/>
                <w:szCs w:val="22"/>
              </w:rPr>
            </w:pPr>
            <w:proofErr w:type="spellStart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eur</w:t>
            </w:r>
            <w:proofErr w:type="spellEnd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/</w:t>
            </w:r>
            <w:proofErr w:type="spellStart"/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</w:rPr>
              <w:t>m</w:t>
            </w:r>
            <w:r w:rsidRPr="00DE3F46">
              <w:rPr>
                <w:rFonts w:eastAsia="Times New Roman" w:cs="Calibri"/>
                <w:b/>
                <w:color w:val="808080"/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</w:tbl>
    <w:p w:rsidR="00584EDD" w:rsidRDefault="0012531F" w:rsidP="007E11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lastRenderedPageBreak/>
        <w:t>V</w:t>
      </w:r>
      <w:r w:rsidR="001C1B61"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I</w:t>
      </w:r>
      <w:r w:rsidR="00A97527"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.</w:t>
      </w:r>
    </w:p>
    <w:p w:rsidR="00584EDD" w:rsidRDefault="0012531F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Korisnicima vodnih usluga javne odvodnje koji imaju i koriste ispravan mjerač protoka ispuštene vode, neovisno o tom jesu li ili nisu priključeni na komunalne vodne građevine javne vodoopskrbe, cijena vodne usluge skupljanja otpadnih voda </w:t>
      </w:r>
      <w:r w:rsidR="001208D2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obračunava se </w:t>
      </w: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prema količini (kubičnom metru) ispuštene otpadne vo</w:t>
      </w:r>
      <w:r w:rsidR="006E5A02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de izmjerenoj na mjeraču protoka</w:t>
      </w: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 mjesečno/višemjesečno.</w:t>
      </w:r>
    </w:p>
    <w:p w:rsidR="00584EDD" w:rsidRDefault="00584EDD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</w:p>
    <w:p w:rsidR="00941442" w:rsidRPr="00972170" w:rsidRDefault="0012531F" w:rsidP="00941442">
      <w:pPr>
        <w:spacing w:after="0" w:line="240" w:lineRule="auto"/>
        <w:jc w:val="both"/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</w:pP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Korisnicima vodnih usluga javne odvodnje koji nemaju ili ne koriste ispravan mjerač protoka ispuštene otpadne vode, a pr</w:t>
      </w:r>
      <w:r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iključeni su na komunalne vodne građevine javne vodoopskrbe - cijena vodne usluge skupljanja otpadnih se </w:t>
      </w:r>
      <w:r w:rsidR="008852B6"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>obračunava</w:t>
      </w:r>
      <w:r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 prema </w:t>
      </w:r>
      <w:r w:rsidR="001208D2"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količini (kubičnom metru) isporučene vode. </w:t>
      </w:r>
      <w:r w:rsidR="00A8554A"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Cijena vodne usluge javne odvodnje iz ovog stavka </w:t>
      </w:r>
      <w:r w:rsidR="001208D2"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>obračunava</w:t>
      </w:r>
      <w:r w:rsidR="00A8554A"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 se</w:t>
      </w:r>
      <w:r w:rsidR="001208D2"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 i naplaćuje se putem ispostavljenog računa za vodne usluge koje obveznicima ispostavlja Vodoopskrba i odvodnja d.o.o., Zagreb</w:t>
      </w:r>
      <w:r w:rsidR="00A8554A"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>.</w:t>
      </w:r>
    </w:p>
    <w:p w:rsidR="00584EDD" w:rsidRPr="00972170" w:rsidRDefault="00584EDD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</w:pPr>
    </w:p>
    <w:p w:rsidR="00584EDD" w:rsidRPr="00185C85" w:rsidRDefault="0012531F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  <w:r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Korisnicima vodnih usluga javne odvodnje koji nemaju ili ne koriste ispravan mjerač protoka ispuštene otpadne vode, niti su priključeni na komunalne vodne građevine javne vodoopskrbe - cijena vodne usluge skupljanja otpadnih voda </w:t>
      </w:r>
      <w:r w:rsidR="008852B6"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>obračunava</w:t>
      </w:r>
      <w:r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 se </w:t>
      </w:r>
      <w:r w:rsidR="008852B6"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>prema</w:t>
      </w:r>
      <w:r w:rsidR="001208D2"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 paušalnoj količini</w:t>
      </w:r>
      <w:r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 </w:t>
      </w:r>
      <w:r w:rsidR="008852B6"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od </w:t>
      </w:r>
      <w:r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3,45 </w:t>
      </w:r>
      <w:proofErr w:type="spellStart"/>
      <w:r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>m</w:t>
      </w:r>
      <w:r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  <w:vertAlign w:val="superscript"/>
        </w:rPr>
        <w:t>3</w:t>
      </w:r>
      <w:proofErr w:type="spellEnd"/>
      <w:r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 </w:t>
      </w:r>
      <w:r w:rsidR="00A8554A"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mjesečno </w:t>
      </w:r>
      <w:r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po članu </w:t>
      </w:r>
      <w:r w:rsidR="001208D2"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>kućanstva</w:t>
      </w:r>
      <w:r w:rsidR="00A8554A">
        <w:rPr>
          <w:rFonts w:asciiTheme="minorHAnsi" w:eastAsia="Times New Roman" w:hAnsiTheme="minorHAnsi" w:cstheme="minorHAnsi"/>
          <w:color w:val="FF0000"/>
          <w:sz w:val="22"/>
          <w:szCs w:val="22"/>
        </w:rPr>
        <w:t>.</w:t>
      </w:r>
    </w:p>
    <w:p w:rsidR="00EA1A1B" w:rsidRDefault="00EA1A1B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</w:p>
    <w:p w:rsidR="00584EDD" w:rsidRDefault="0012531F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Pod kućanstvom se podrazumijevaju sve fizičke osobe koje dijele isti stambeni prostor.</w:t>
      </w:r>
    </w:p>
    <w:p w:rsidR="00EA1A1B" w:rsidRDefault="00EA1A1B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</w:p>
    <w:p w:rsidR="00584EDD" w:rsidRDefault="0012531F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Pod socijalno ugroženim građanima </w:t>
      </w:r>
      <w:r w:rsidR="001208D2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smatraju se</w:t>
      </w: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 osobe kako je utvrđeno člankom 44. stavkom 4. Zakona o vodnim uslugama.</w:t>
      </w:r>
    </w:p>
    <w:p w:rsidR="001C1B61" w:rsidRDefault="001C1B61" w:rsidP="007E11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</w:p>
    <w:p w:rsidR="00584EDD" w:rsidRDefault="009859AA" w:rsidP="007E11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VI</w:t>
      </w:r>
      <w:r w:rsidR="001C1B61"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I</w:t>
      </w:r>
      <w:r w:rsidR="00A97527"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.</w:t>
      </w:r>
    </w:p>
    <w:p w:rsidR="00584EDD" w:rsidRPr="0077092B" w:rsidRDefault="009A6E49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</w:pPr>
      <w:r w:rsidRPr="0077092B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>Uz cijenu vodnih</w:t>
      </w:r>
      <w:r w:rsidR="0012531F" w:rsidRPr="0077092B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 usluga iskazuju se zasebno porez na dodanu vrijednost</w:t>
      </w:r>
      <w:r w:rsidR="0012531F" w:rsidRPr="00185C85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 </w:t>
      </w:r>
      <w:r w:rsidR="0012531F" w:rsidRPr="0077092B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 xml:space="preserve">i naknada za razvoj, sukladno posebnim propisima. </w:t>
      </w:r>
    </w:p>
    <w:p w:rsidR="00584EDD" w:rsidRDefault="00584EDD" w:rsidP="007E11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</w:p>
    <w:p w:rsidR="00584EDD" w:rsidRDefault="009A6E49" w:rsidP="007E11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VI</w:t>
      </w:r>
      <w:r w:rsidR="001C1B61"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I</w:t>
      </w:r>
      <w:r w:rsidR="00A97527"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.</w:t>
      </w:r>
    </w:p>
    <w:p w:rsidR="00257AB5" w:rsidRDefault="00257AB5" w:rsidP="00257A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</w:p>
    <w:p w:rsidR="00584EDD" w:rsidRPr="00972170" w:rsidRDefault="0012531F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</w:pPr>
      <w:r w:rsidRPr="00972170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>Ova Odluka donesena je uz prethodnu suglasnost gradonačelnice Grada Samobora, Klasa: ___________, Urbroj: ____________ u skladu s člankom 109. stavkom 2. Zakona o vodnim uslugama.</w:t>
      </w:r>
    </w:p>
    <w:p w:rsidR="00584EDD" w:rsidRDefault="00584EDD" w:rsidP="007E110A">
      <w:pPr>
        <w:spacing w:after="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</w:p>
    <w:p w:rsidR="00584EDD" w:rsidRDefault="001C1B61" w:rsidP="001C1B6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IX</w:t>
      </w:r>
      <w:r w:rsidR="00A97527"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.</w:t>
      </w:r>
    </w:p>
    <w:p w:rsidR="00584EDD" w:rsidRDefault="0012531F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Ova Odluka objavljuje se na internetskoj stranici isporučitelja vodne usluge</w:t>
      </w:r>
      <w:r w:rsidR="00067AC2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, </w:t>
      </w:r>
      <w:r w:rsidR="00245EF6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jednom lokalnom mediju</w:t>
      </w:r>
      <w:r w:rsidR="00284C78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i </w:t>
      </w:r>
      <w:r w:rsidR="005E16F4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„</w:t>
      </w:r>
      <w:r w:rsidR="00067AC2" w:rsidRPr="00067AC2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>Glasniku Zagrebačke županije</w:t>
      </w:r>
      <w:r w:rsidR="005E16F4">
        <w:rPr>
          <w:rFonts w:asciiTheme="minorHAnsi" w:eastAsia="Times New Roman" w:hAnsiTheme="minorHAnsi" w:cstheme="minorHAnsi"/>
          <w:color w:val="7F7F7F" w:themeColor="text1" w:themeTint="80"/>
          <w:sz w:val="22"/>
          <w:szCs w:val="22"/>
        </w:rPr>
        <w:t>“</w:t>
      </w: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, te će se najkasnije u roku od pet dana od dana objave u </w:t>
      </w:r>
      <w:r w:rsidR="005E16F4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„</w:t>
      </w:r>
      <w:r w:rsidR="00067AC2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Glasniku Zagrebačke županije</w:t>
      </w:r>
      <w:r w:rsidR="005E16F4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“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 dostaviti Vijeću za vodne usluge.</w:t>
      </w:r>
    </w:p>
    <w:p w:rsidR="00B15B72" w:rsidRDefault="00B15B72" w:rsidP="00B15B72">
      <w:pPr>
        <w:spacing w:after="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</w:p>
    <w:p w:rsidR="00584EDD" w:rsidRDefault="009A6E49" w:rsidP="00B15B7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X</w:t>
      </w:r>
      <w:r w:rsidR="00A97527"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.</w:t>
      </w:r>
    </w:p>
    <w:p w:rsidR="00C575E9" w:rsidRPr="00D266C9" w:rsidRDefault="00C575E9" w:rsidP="00C575E9">
      <w:pPr>
        <w:spacing w:line="240" w:lineRule="auto"/>
        <w:jc w:val="both"/>
        <w:rPr>
          <w:color w:val="7F7F7F" w:themeColor="text1" w:themeTint="80"/>
          <w:sz w:val="22"/>
          <w:szCs w:val="22"/>
          <w:shd w:val="clear" w:color="auto" w:fill="FFFFFF"/>
          <w:lang w:eastAsia="en-US"/>
        </w:rPr>
      </w:pPr>
      <w:r w:rsidRPr="00D266C9">
        <w:rPr>
          <w:color w:val="7F7F7F" w:themeColor="text1" w:themeTint="80"/>
          <w:sz w:val="22"/>
          <w:szCs w:val="22"/>
          <w:shd w:val="clear" w:color="auto" w:fill="FFFFFF"/>
          <w:lang w:eastAsia="en-US"/>
        </w:rPr>
        <w:t>Ova odluka stupa na snagu</w:t>
      </w:r>
      <w:r w:rsidR="00245EF6" w:rsidRPr="00D266C9">
        <w:rPr>
          <w:color w:val="7F7F7F" w:themeColor="text1" w:themeTint="80"/>
          <w:sz w:val="22"/>
          <w:szCs w:val="22"/>
          <w:shd w:val="clear" w:color="auto" w:fill="FFFFFF"/>
          <w:lang w:eastAsia="en-US"/>
        </w:rPr>
        <w:t xml:space="preserve"> osmi dan od dana objave</w:t>
      </w:r>
      <w:r w:rsidR="005E16F4">
        <w:rPr>
          <w:color w:val="7F7F7F" w:themeColor="text1" w:themeTint="80"/>
          <w:sz w:val="22"/>
          <w:szCs w:val="22"/>
          <w:shd w:val="clear" w:color="auto" w:fill="FFFFFF"/>
          <w:lang w:eastAsia="en-US"/>
        </w:rPr>
        <w:t xml:space="preserve"> u </w:t>
      </w:r>
      <w:r w:rsidRPr="00D266C9">
        <w:rPr>
          <w:color w:val="7F7F7F" w:themeColor="text1" w:themeTint="80"/>
        </w:rPr>
        <w:t xml:space="preserve"> </w:t>
      </w:r>
      <w:r w:rsidR="005E16F4">
        <w:rPr>
          <w:color w:val="7F7F7F" w:themeColor="text1" w:themeTint="80"/>
        </w:rPr>
        <w:t>„</w:t>
      </w:r>
      <w:r w:rsidR="005E16F4">
        <w:rPr>
          <w:color w:val="7F7F7F" w:themeColor="text1" w:themeTint="80"/>
          <w:sz w:val="22"/>
          <w:szCs w:val="22"/>
          <w:shd w:val="clear" w:color="auto" w:fill="FFFFFF"/>
          <w:lang w:eastAsia="en-US"/>
        </w:rPr>
        <w:t>Glasniku Zagrebačke županije“.</w:t>
      </w:r>
      <w:r w:rsidRPr="00D266C9">
        <w:rPr>
          <w:color w:val="7F7F7F" w:themeColor="text1" w:themeTint="80"/>
          <w:sz w:val="22"/>
          <w:szCs w:val="22"/>
          <w:shd w:val="clear" w:color="auto" w:fill="FFFFFF"/>
          <w:lang w:eastAsia="en-US"/>
        </w:rPr>
        <w:t xml:space="preserve"> </w:t>
      </w:r>
    </w:p>
    <w:p w:rsidR="0030452A" w:rsidRDefault="0012531F" w:rsidP="00245EF6">
      <w:pPr>
        <w:spacing w:after="0" w:line="240" w:lineRule="auto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Stupanjem na snagu ove Odluke</w:t>
      </w:r>
      <w:r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prestaje važiti Odluka o cijeni vodnih usluga </w:t>
      </w:r>
      <w:proofErr w:type="spellStart"/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Ur</w:t>
      </w:r>
      <w:proofErr w:type="spellEnd"/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.</w:t>
      </w:r>
      <w:r w:rsidR="00155FD6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broj 9313-1/2011 od 10.09.2011. godine </w:t>
      </w:r>
      <w:r w:rsidR="00067AC2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donesena</w:t>
      </w: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 xml:space="preserve"> od strane trgovačkog društva Komunalac d.o.o. Samobor.</w:t>
      </w:r>
    </w:p>
    <w:p w:rsidR="00245EF6" w:rsidRDefault="00245EF6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</w:p>
    <w:p w:rsidR="0030452A" w:rsidRDefault="00067AC2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Samobor, ________</w:t>
      </w:r>
    </w:p>
    <w:p w:rsidR="0030452A" w:rsidRDefault="0030452A" w:rsidP="007E11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</w:p>
    <w:p w:rsidR="00584EDD" w:rsidRDefault="0012531F" w:rsidP="0030452A">
      <w:pPr>
        <w:spacing w:after="0" w:line="240" w:lineRule="auto"/>
        <w:ind w:left="5387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Odvodnja Samobor d.o.o. :</w:t>
      </w:r>
    </w:p>
    <w:p w:rsidR="00584EDD" w:rsidRDefault="00403197" w:rsidP="0030452A">
      <w:pPr>
        <w:spacing w:after="0" w:line="240" w:lineRule="auto"/>
        <w:ind w:left="5387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Direktor</w:t>
      </w:r>
    </w:p>
    <w:p w:rsidR="00067AC2" w:rsidRDefault="00403197" w:rsidP="0030452A">
      <w:pPr>
        <w:spacing w:after="0" w:line="240" w:lineRule="auto"/>
        <w:ind w:left="5387"/>
        <w:jc w:val="both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Antonio Širanović</w:t>
      </w:r>
      <w:r w:rsidR="00067AC2"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  <w:t>, dipl.ing.sig.,ing.građ.</w:t>
      </w:r>
    </w:p>
    <w:p w:rsidR="0030452A" w:rsidRDefault="0030452A" w:rsidP="009A6E49">
      <w:pPr>
        <w:spacing w:after="0" w:line="240" w:lineRule="auto"/>
        <w:ind w:left="5103"/>
        <w:jc w:val="both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</w:p>
    <w:p w:rsidR="0030452A" w:rsidRDefault="0030452A" w:rsidP="009A6E49">
      <w:pPr>
        <w:spacing w:after="0" w:line="240" w:lineRule="auto"/>
        <w:ind w:left="5103"/>
        <w:jc w:val="both"/>
        <w:rPr>
          <w:rFonts w:asciiTheme="minorHAnsi" w:eastAsia="Times New Roman" w:hAnsiTheme="minorHAnsi" w:cstheme="minorHAnsi"/>
          <w:b/>
          <w:color w:val="808080" w:themeColor="background1" w:themeShade="80"/>
          <w:sz w:val="22"/>
          <w:szCs w:val="22"/>
        </w:rPr>
      </w:pPr>
    </w:p>
    <w:p w:rsidR="0030452A" w:rsidRPr="0030452A" w:rsidRDefault="0030452A" w:rsidP="0030452A">
      <w:pPr>
        <w:spacing w:after="0" w:line="240" w:lineRule="auto"/>
        <w:ind w:left="5103"/>
        <w:jc w:val="center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</w:pPr>
      <w:proofErr w:type="spellStart"/>
      <w:r w:rsidRPr="0030452A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M.P</w:t>
      </w:r>
      <w:proofErr w:type="spellEnd"/>
      <w:r w:rsidRPr="0030452A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.</w:t>
      </w:r>
    </w:p>
    <w:sectPr w:rsidR="0030452A" w:rsidRPr="0030452A" w:rsidSect="00B15B7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418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DF" w:rsidRDefault="00004EDF">
      <w:pPr>
        <w:spacing w:after="0" w:line="240" w:lineRule="auto"/>
      </w:pPr>
      <w:r>
        <w:separator/>
      </w:r>
    </w:p>
  </w:endnote>
  <w:endnote w:type="continuationSeparator" w:id="0">
    <w:p w:rsidR="00004EDF" w:rsidRDefault="0000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70C0"/>
      </w:rPr>
      <w:id w:val="-9428356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584EDD" w:rsidRDefault="0012531F">
        <w:pPr>
          <w:pStyle w:val="Header"/>
          <w:rPr>
            <w:color w:val="0070C0"/>
            <w:sz w:val="20"/>
            <w:szCs w:val="20"/>
          </w:rPr>
        </w:pPr>
        <w:r>
          <w:rPr>
            <w:color w:val="0070C0"/>
            <w:sz w:val="20"/>
            <w:szCs w:val="20"/>
          </w:rPr>
          <w:t>__________________________________________________________________________________________</w:t>
        </w:r>
      </w:p>
      <w:p w:rsidR="00584EDD" w:rsidRDefault="0012531F">
        <w:pPr>
          <w:pStyle w:val="Footer"/>
          <w:jc w:val="center"/>
          <w:rPr>
            <w:rFonts w:asciiTheme="minorHAnsi" w:hAnsiTheme="minorHAnsi" w:cstheme="minorHAnsi"/>
            <w:color w:val="0070C0"/>
            <w:sz w:val="22"/>
            <w:szCs w:val="22"/>
          </w:rPr>
        </w:pPr>
        <w:r>
          <w:rPr>
            <w:rFonts w:asciiTheme="minorHAnsi" w:hAnsiTheme="minorHAnsi" w:cstheme="minorHAnsi"/>
            <w:color w:val="0070C0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color w:val="0070C0"/>
            <w:sz w:val="22"/>
            <w:szCs w:val="22"/>
          </w:rPr>
          <w:instrText xml:space="preserve"> PAGE   \* MERGEFORMAT </w:instrText>
        </w:r>
        <w:r>
          <w:rPr>
            <w:rFonts w:asciiTheme="minorHAnsi" w:hAnsiTheme="minorHAnsi" w:cstheme="minorHAnsi"/>
            <w:color w:val="0070C0"/>
            <w:sz w:val="22"/>
            <w:szCs w:val="22"/>
          </w:rPr>
          <w:fldChar w:fldCharType="separate"/>
        </w:r>
        <w:r w:rsidR="005E16F4">
          <w:rPr>
            <w:rFonts w:asciiTheme="minorHAnsi" w:hAnsiTheme="minorHAnsi" w:cstheme="minorHAnsi"/>
            <w:noProof/>
            <w:color w:val="0070C0"/>
            <w:sz w:val="22"/>
            <w:szCs w:val="22"/>
          </w:rPr>
          <w:t>1</w:t>
        </w:r>
        <w:r>
          <w:rPr>
            <w:rFonts w:asciiTheme="minorHAnsi" w:hAnsiTheme="minorHAnsi" w:cstheme="minorHAnsi"/>
            <w:noProof/>
            <w:color w:val="0070C0"/>
            <w:sz w:val="22"/>
            <w:szCs w:val="22"/>
          </w:rPr>
          <w:fldChar w:fldCharType="end"/>
        </w:r>
      </w:p>
    </w:sdtContent>
  </w:sdt>
  <w:p w:rsidR="00584EDD" w:rsidRDefault="00584EDD">
    <w:pPr>
      <w:pStyle w:val="Footer"/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DD" w:rsidRDefault="0012531F">
    <w:pPr>
      <w:pStyle w:val="Header"/>
      <w:rPr>
        <w:color w:val="0070C0"/>
        <w:sz w:val="20"/>
        <w:szCs w:val="20"/>
      </w:rPr>
    </w:pPr>
    <w:r>
      <w:rPr>
        <w:color w:val="0070C0"/>
        <w:sz w:val="20"/>
        <w:szCs w:val="20"/>
      </w:rPr>
      <w:t>__________________________________________________________________________________________</w:t>
    </w:r>
  </w:p>
  <w:p w:rsidR="00584EDD" w:rsidRDefault="00584EDD">
    <w:pPr>
      <w:pStyle w:val="Header"/>
    </w:pPr>
  </w:p>
  <w:p w:rsidR="00584EDD" w:rsidRDefault="00584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DF" w:rsidRDefault="00004EDF">
      <w:pPr>
        <w:spacing w:after="0" w:line="240" w:lineRule="auto"/>
      </w:pPr>
      <w:r>
        <w:separator/>
      </w:r>
    </w:p>
  </w:footnote>
  <w:footnote w:type="continuationSeparator" w:id="0">
    <w:p w:rsidR="00004EDF" w:rsidRDefault="0000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D6" w:rsidRDefault="00004E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485063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DD" w:rsidRDefault="00004EDF">
    <w:pPr>
      <w:pStyle w:val="Header"/>
      <w:jc w:val="center"/>
      <w:rPr>
        <w:rFonts w:ascii="Calibri" w:hAnsi="Calibri"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485064" o:spid="_x0000_s2051" type="#_x0000_t136" style="position:absolute;left:0;text-align:left;margin-left:0;margin-top:0;width:399.6pt;height:23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  <w:r w:rsidR="0012531F">
      <w:rPr>
        <w:rFonts w:ascii="Calibri" w:hAnsi="Calibri"/>
        <w:sz w:val="22"/>
        <w:szCs w:val="22"/>
      </w:rPr>
      <w:t>Odvodnja Samobor d.o.o. – Odluka o cijeni vodnih usluga</w:t>
    </w:r>
  </w:p>
  <w:p w:rsidR="00584EDD" w:rsidRDefault="0012531F">
    <w:pPr>
      <w:pStyle w:val="Header"/>
      <w:rPr>
        <w:color w:val="0070C0"/>
        <w:sz w:val="20"/>
        <w:szCs w:val="20"/>
      </w:rPr>
    </w:pPr>
    <w:r>
      <w:rPr>
        <w:color w:val="0070C0"/>
        <w:sz w:val="20"/>
        <w:szCs w:val="20"/>
      </w:rPr>
      <w:t>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DD" w:rsidRDefault="00004EDF">
    <w:pPr>
      <w:pStyle w:val="Header"/>
      <w:jc w:val="center"/>
      <w:rPr>
        <w:rFonts w:ascii="Calibri" w:hAnsi="Calibri"/>
        <w:color w:val="808080" w:themeColor="background1" w:themeShade="80"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485062" o:spid="_x0000_s2049" type="#_x0000_t136" style="position:absolute;left:0;text-align:left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  <w:r w:rsidR="0012531F">
      <w:rPr>
        <w:rFonts w:ascii="Calibri" w:hAnsi="Calibri"/>
        <w:color w:val="808080" w:themeColor="background1" w:themeShade="80"/>
        <w:sz w:val="22"/>
        <w:szCs w:val="22"/>
      </w:rPr>
      <w:t xml:space="preserve">Odvodnja Samobor d.o.o. </w:t>
    </w:r>
  </w:p>
  <w:p w:rsidR="00584EDD" w:rsidRDefault="0012531F">
    <w:pPr>
      <w:pStyle w:val="Header"/>
      <w:rPr>
        <w:color w:val="0070C0"/>
        <w:sz w:val="20"/>
        <w:szCs w:val="20"/>
      </w:rPr>
    </w:pPr>
    <w:r>
      <w:rPr>
        <w:color w:val="0070C0"/>
        <w:sz w:val="20"/>
        <w:szCs w:val="20"/>
      </w:rPr>
      <w:t>__________________________________________________________________________________________</w:t>
    </w:r>
  </w:p>
  <w:p w:rsidR="00584EDD" w:rsidRDefault="00584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FC"/>
    <w:multiLevelType w:val="hybridMultilevel"/>
    <w:tmpl w:val="89A2A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9BE"/>
    <w:multiLevelType w:val="hybridMultilevel"/>
    <w:tmpl w:val="743EEF8A"/>
    <w:lvl w:ilvl="0" w:tplc="C3AC0F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8054F"/>
    <w:multiLevelType w:val="hybridMultilevel"/>
    <w:tmpl w:val="97FACF2A"/>
    <w:lvl w:ilvl="0" w:tplc="C3AC0F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2DB3"/>
    <w:multiLevelType w:val="hybridMultilevel"/>
    <w:tmpl w:val="EF7AE568"/>
    <w:lvl w:ilvl="0" w:tplc="C3AC0F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133"/>
    <w:multiLevelType w:val="hybridMultilevel"/>
    <w:tmpl w:val="12F81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A44C9"/>
    <w:multiLevelType w:val="hybridMultilevel"/>
    <w:tmpl w:val="3526502C"/>
    <w:lvl w:ilvl="0" w:tplc="C3AC0F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C64BE9"/>
    <w:multiLevelType w:val="hybridMultilevel"/>
    <w:tmpl w:val="05B8B7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A5E6F"/>
    <w:multiLevelType w:val="hybridMultilevel"/>
    <w:tmpl w:val="FDECEEE4"/>
    <w:lvl w:ilvl="0" w:tplc="19CAD3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2B81"/>
    <w:multiLevelType w:val="hybridMultilevel"/>
    <w:tmpl w:val="457E430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003A5"/>
    <w:multiLevelType w:val="hybridMultilevel"/>
    <w:tmpl w:val="F4B8EDB2"/>
    <w:lvl w:ilvl="0" w:tplc="C3AC0F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07DA4"/>
    <w:multiLevelType w:val="hybridMultilevel"/>
    <w:tmpl w:val="4C9C7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50A2"/>
    <w:multiLevelType w:val="hybridMultilevel"/>
    <w:tmpl w:val="43FA1BFA"/>
    <w:lvl w:ilvl="0" w:tplc="C3AC0F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54D81"/>
    <w:multiLevelType w:val="multilevel"/>
    <w:tmpl w:val="041A0029"/>
    <w:styleLink w:val="lanak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Calibri" w:hAnsi="Calibri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BB97886"/>
    <w:multiLevelType w:val="hybridMultilevel"/>
    <w:tmpl w:val="8332914C"/>
    <w:lvl w:ilvl="0" w:tplc="C61CCBD6">
      <w:start w:val="35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44B7F"/>
    <w:multiLevelType w:val="hybridMultilevel"/>
    <w:tmpl w:val="C998671A"/>
    <w:lvl w:ilvl="0" w:tplc="CB02853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634311"/>
    <w:multiLevelType w:val="hybridMultilevel"/>
    <w:tmpl w:val="83D62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55214"/>
    <w:multiLevelType w:val="hybridMultilevel"/>
    <w:tmpl w:val="43E07B64"/>
    <w:lvl w:ilvl="0" w:tplc="E5A47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501BC"/>
    <w:multiLevelType w:val="hybridMultilevel"/>
    <w:tmpl w:val="8EDAE050"/>
    <w:lvl w:ilvl="0" w:tplc="3C0A99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F3AA658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84D34"/>
    <w:multiLevelType w:val="hybridMultilevel"/>
    <w:tmpl w:val="27044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23E30"/>
    <w:multiLevelType w:val="hybridMultilevel"/>
    <w:tmpl w:val="D3D88088"/>
    <w:lvl w:ilvl="0" w:tplc="C3AC0F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F41A5"/>
    <w:multiLevelType w:val="hybridMultilevel"/>
    <w:tmpl w:val="5DB8B6D8"/>
    <w:lvl w:ilvl="0" w:tplc="2EB094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80D89"/>
    <w:multiLevelType w:val="hybridMultilevel"/>
    <w:tmpl w:val="D6168A50"/>
    <w:lvl w:ilvl="0" w:tplc="D12C3AD8">
      <w:start w:val="35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19"/>
  </w:num>
  <w:num w:numId="8">
    <w:abstractNumId w:val="9"/>
  </w:num>
  <w:num w:numId="9">
    <w:abstractNumId w:val="16"/>
  </w:num>
  <w:num w:numId="10">
    <w:abstractNumId w:val="10"/>
  </w:num>
  <w:num w:numId="11">
    <w:abstractNumId w:val="15"/>
  </w:num>
  <w:num w:numId="12">
    <w:abstractNumId w:val="1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0"/>
  </w:num>
  <w:num w:numId="17">
    <w:abstractNumId w:val="14"/>
  </w:num>
  <w:num w:numId="18">
    <w:abstractNumId w:val="7"/>
  </w:num>
  <w:num w:numId="19">
    <w:abstractNumId w:val="8"/>
  </w:num>
  <w:num w:numId="20">
    <w:abstractNumId w:val="17"/>
  </w:num>
  <w:num w:numId="21">
    <w:abstractNumId w:val="21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DD"/>
    <w:rsid w:val="00004EDF"/>
    <w:rsid w:val="00067AC2"/>
    <w:rsid w:val="001208D2"/>
    <w:rsid w:val="0012531F"/>
    <w:rsid w:val="00155FD6"/>
    <w:rsid w:val="00185C85"/>
    <w:rsid w:val="001C0100"/>
    <w:rsid w:val="001C1B61"/>
    <w:rsid w:val="00245EF6"/>
    <w:rsid w:val="00257AB5"/>
    <w:rsid w:val="00270588"/>
    <w:rsid w:val="00284C78"/>
    <w:rsid w:val="0030452A"/>
    <w:rsid w:val="00403197"/>
    <w:rsid w:val="00584EDD"/>
    <w:rsid w:val="00594CF0"/>
    <w:rsid w:val="005E16F4"/>
    <w:rsid w:val="00627D72"/>
    <w:rsid w:val="006E5A02"/>
    <w:rsid w:val="0077092B"/>
    <w:rsid w:val="007956D6"/>
    <w:rsid w:val="007D5747"/>
    <w:rsid w:val="007E110A"/>
    <w:rsid w:val="008852B6"/>
    <w:rsid w:val="00904D3F"/>
    <w:rsid w:val="00941442"/>
    <w:rsid w:val="00972170"/>
    <w:rsid w:val="009859AA"/>
    <w:rsid w:val="009A6E49"/>
    <w:rsid w:val="009E7F3E"/>
    <w:rsid w:val="00A423B9"/>
    <w:rsid w:val="00A70386"/>
    <w:rsid w:val="00A8554A"/>
    <w:rsid w:val="00A97527"/>
    <w:rsid w:val="00AF3DF6"/>
    <w:rsid w:val="00B15B72"/>
    <w:rsid w:val="00C16566"/>
    <w:rsid w:val="00C575E9"/>
    <w:rsid w:val="00D266C9"/>
    <w:rsid w:val="00D66C08"/>
    <w:rsid w:val="00DC41C6"/>
    <w:rsid w:val="00DE3F46"/>
    <w:rsid w:val="00E51CA3"/>
    <w:rsid w:val="00E93EB4"/>
    <w:rsid w:val="00EA1A1B"/>
    <w:rsid w:val="00FA180E"/>
    <w:rsid w:val="00F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09B8B9"/>
  <w15:chartTrackingRefBased/>
  <w15:docId w15:val="{51FB308D-AA50-4C5C-9AFB-7DF8ED9F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after="0"/>
      <w:outlineLvl w:val="9"/>
    </w:pPr>
    <w:rPr>
      <w:b w:val="0"/>
      <w:bCs w:val="0"/>
      <w:color w:val="2E74B5"/>
      <w:kern w:val="0"/>
      <w:lang w:val="en-US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Pr>
      <w:strike w:val="0"/>
      <w:dstrike w:val="0"/>
      <w:color w:val="D51B1B"/>
      <w:u w:val="none"/>
      <w:effect w:val="none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  <w:rPr>
      <w:rFonts w:eastAsia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9060"/>
      </w:tabs>
      <w:spacing w:after="10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  <w:rPr>
      <w:rFonts w:eastAsia="Times New Roman"/>
      <w:lang w:val="en-US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  <w:sz w:val="22"/>
      <w:szCs w:val="22"/>
      <w:lang w:eastAsia="en-US"/>
    </w:rPr>
  </w:style>
  <w:style w:type="numbering" w:customStyle="1" w:styleId="lanak1">
    <w:name w:val="Članak 1."/>
    <w:uiPriority w:val="9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8" ma:contentTypeDescription="Stvaranje novog dokumenta." ma:contentTypeScope="" ma:versionID="7d226b393df9716f06e32e35f3a8327a">
  <xsd:schema xmlns:xsd="http://www.w3.org/2001/XMLSchema" xmlns:xs="http://www.w3.org/2001/XMLSchema" xmlns:p="http://schemas.microsoft.com/office/2006/metadata/properties" xmlns:ns3="d3f8bf22-b207-418f-8fa5-ebe9bf87b4f5" targetNamespace="http://schemas.microsoft.com/office/2006/metadata/properties" ma:root="true" ma:fieldsID="97d399e89728dd03bfd90b501997a735" ns3:_="">
    <xsd:import namespace="d3f8bf22-b207-418f-8fa5-ebe9bf87b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2F4E-5B27-4D41-A16D-0404E38D9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38EA6-F6C8-412B-A368-CFF30C6A0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FE017-3C27-455B-BC2F-C5A0EC9A7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3714C-8B92-47FD-912A-F0F5FD6F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Links>
    <vt:vector size="36" baseType="variant"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_Toc383519551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_Toc383519550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_Toc383519549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_Toc383519548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_Toc383519547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_Toc383519544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Edita Herceg</cp:lastModifiedBy>
  <cp:revision>22</cp:revision>
  <cp:lastPrinted>2023-05-05T11:33:00Z</cp:lastPrinted>
  <dcterms:created xsi:type="dcterms:W3CDTF">2022-08-29T11:41:00Z</dcterms:created>
  <dcterms:modified xsi:type="dcterms:W3CDTF">2023-05-05T12:08:00Z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