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34" w:rsidRDefault="007D4145">
      <w:pPr>
        <w:spacing w:line="276" w:lineRule="auto"/>
        <w:rPr>
          <w:rFonts w:ascii="Calibri Light" w:hAnsi="Calibri Light" w:cs="Calibri Light"/>
          <w:b/>
        </w:rPr>
      </w:pPr>
      <w:r>
        <w:rPr>
          <w:rFonts w:ascii="Calibri" w:hAnsi="Calibri"/>
          <w:b/>
        </w:rPr>
        <w:t xml:space="preserve"> </w:t>
      </w:r>
    </w:p>
    <w:p w:rsidR="007A0834" w:rsidRDefault="007A0834">
      <w:pPr>
        <w:spacing w:line="276" w:lineRule="auto"/>
        <w:rPr>
          <w:rFonts w:ascii="Calibri Light" w:hAnsi="Calibri Light" w:cs="Calibri Light"/>
          <w:b/>
        </w:rPr>
      </w:pPr>
    </w:p>
    <w:p w:rsidR="007A0834" w:rsidRDefault="007A0834">
      <w:pPr>
        <w:spacing w:line="276" w:lineRule="auto"/>
        <w:rPr>
          <w:rFonts w:ascii="Calibri Light" w:hAnsi="Calibri Light" w:cs="Calibri Light"/>
          <w:b/>
          <w:color w:val="0070C0"/>
        </w:rPr>
      </w:pPr>
    </w:p>
    <w:p w:rsidR="007A0834" w:rsidRDefault="007A0834">
      <w:pPr>
        <w:spacing w:line="276" w:lineRule="auto"/>
        <w:rPr>
          <w:rFonts w:ascii="Calibri Light" w:hAnsi="Calibri Light" w:cs="Calibri Light"/>
          <w:b/>
          <w:color w:val="0070C0"/>
        </w:rPr>
      </w:pPr>
    </w:p>
    <w:p w:rsidR="007A0834" w:rsidRDefault="007A0834">
      <w:pPr>
        <w:spacing w:line="276" w:lineRule="auto"/>
        <w:rPr>
          <w:rFonts w:ascii="Calibri Light" w:hAnsi="Calibri Light" w:cs="Calibri Light"/>
          <w:b/>
          <w:color w:val="0070C0"/>
        </w:rPr>
      </w:pPr>
    </w:p>
    <w:p w:rsidR="007A0834" w:rsidRDefault="007A0834">
      <w:pPr>
        <w:spacing w:line="276" w:lineRule="auto"/>
        <w:rPr>
          <w:rFonts w:ascii="Calibri Light" w:hAnsi="Calibri Light" w:cs="Calibri Light"/>
          <w:b/>
          <w:color w:val="0070C0"/>
        </w:rPr>
      </w:pPr>
    </w:p>
    <w:p w:rsidR="007A0834" w:rsidRDefault="007A0834">
      <w:pPr>
        <w:spacing w:line="276" w:lineRule="auto"/>
        <w:rPr>
          <w:rFonts w:ascii="Calibri Light" w:hAnsi="Calibri Light" w:cs="Calibri Light"/>
          <w:b/>
          <w:color w:val="0070C0"/>
        </w:rPr>
      </w:pPr>
    </w:p>
    <w:p w:rsidR="007A0834" w:rsidRDefault="007A0834">
      <w:pPr>
        <w:spacing w:line="276" w:lineRule="auto"/>
        <w:rPr>
          <w:rFonts w:ascii="Calibri Light" w:hAnsi="Calibri Light" w:cs="Calibri Light"/>
          <w:b/>
          <w:color w:val="0070C0"/>
        </w:rPr>
      </w:pPr>
    </w:p>
    <w:p w:rsidR="007A0834" w:rsidRDefault="007A0834">
      <w:pPr>
        <w:spacing w:line="276" w:lineRule="auto"/>
        <w:rPr>
          <w:rFonts w:ascii="Calibri Light" w:hAnsi="Calibri Light" w:cs="Calibri Light"/>
          <w:b/>
          <w:color w:val="0070C0"/>
        </w:rPr>
      </w:pPr>
    </w:p>
    <w:p w:rsidR="007A0834" w:rsidRDefault="007A0834">
      <w:pPr>
        <w:spacing w:line="276" w:lineRule="auto"/>
        <w:rPr>
          <w:rFonts w:ascii="Calibri Light" w:hAnsi="Calibri Light" w:cs="Calibri Light"/>
          <w:b/>
          <w:color w:val="0070C0"/>
        </w:rPr>
      </w:pPr>
    </w:p>
    <w:p w:rsidR="007A0834" w:rsidRDefault="007A0834">
      <w:pPr>
        <w:spacing w:line="276" w:lineRule="auto"/>
        <w:rPr>
          <w:rFonts w:ascii="Calibri Light" w:hAnsi="Calibri Light" w:cs="Calibri Light"/>
          <w:b/>
          <w:color w:val="0070C0"/>
        </w:rPr>
      </w:pPr>
    </w:p>
    <w:p w:rsidR="007A0834" w:rsidRDefault="007A0834">
      <w:pPr>
        <w:spacing w:after="0" w:line="276" w:lineRule="auto"/>
        <w:rPr>
          <w:rFonts w:ascii="Calibri Light" w:hAnsi="Calibri Light" w:cs="Calibri Light"/>
          <w:b/>
          <w:color w:val="0070C0"/>
        </w:rPr>
      </w:pPr>
    </w:p>
    <w:p w:rsidR="007A0834" w:rsidRDefault="007D4145">
      <w:pPr>
        <w:spacing w:after="0" w:line="276" w:lineRule="auto"/>
        <w:jc w:val="center"/>
        <w:rPr>
          <w:rFonts w:ascii="Calibri Light" w:hAnsi="Calibri Light" w:cs="Calibri Light"/>
          <w:b/>
          <w:color w:val="0070C0"/>
          <w:sz w:val="44"/>
          <w:szCs w:val="44"/>
        </w:rPr>
      </w:pPr>
      <w:r>
        <w:rPr>
          <w:rFonts w:ascii="Calibri Light" w:hAnsi="Calibri Light" w:cs="Calibri Light"/>
          <w:b/>
          <w:color w:val="0070C0"/>
          <w:sz w:val="44"/>
          <w:szCs w:val="44"/>
        </w:rPr>
        <w:t>REBALANS PLANA POSLOVANJA</w:t>
      </w:r>
    </w:p>
    <w:p w:rsidR="007A0834" w:rsidRDefault="007D4145">
      <w:pPr>
        <w:spacing w:after="0" w:line="276" w:lineRule="auto"/>
        <w:jc w:val="center"/>
        <w:rPr>
          <w:rFonts w:ascii="Calibri Light" w:hAnsi="Calibri Light" w:cs="Calibri Light"/>
          <w:color w:val="0070C0"/>
          <w:sz w:val="28"/>
          <w:szCs w:val="28"/>
        </w:rPr>
      </w:pPr>
      <w:r>
        <w:rPr>
          <w:rFonts w:ascii="Calibri Light" w:hAnsi="Calibri Light" w:cs="Calibri Light"/>
          <w:color w:val="0070C0"/>
          <w:sz w:val="28"/>
          <w:szCs w:val="28"/>
        </w:rPr>
        <w:t>ZA RAZDOBLJE 01. 01. – 31. 12. 2023. GODINE</w:t>
      </w:r>
    </w:p>
    <w:p w:rsidR="007A0834" w:rsidRDefault="007A0834">
      <w:pPr>
        <w:spacing w:line="276" w:lineRule="auto"/>
        <w:rPr>
          <w:rFonts w:ascii="Calibri Light" w:hAnsi="Calibri Light" w:cs="Calibri Light"/>
          <w:color w:val="0070C0"/>
        </w:rPr>
      </w:pPr>
    </w:p>
    <w:p w:rsidR="007A0834" w:rsidRDefault="007A0834">
      <w:pPr>
        <w:spacing w:line="276" w:lineRule="auto"/>
        <w:rPr>
          <w:rFonts w:ascii="Calibri Light" w:hAnsi="Calibri Light" w:cs="Calibri Light"/>
          <w:color w:val="0070C0"/>
        </w:rPr>
      </w:pPr>
    </w:p>
    <w:p w:rsidR="007A0834" w:rsidRDefault="007A0834">
      <w:pPr>
        <w:spacing w:line="276" w:lineRule="auto"/>
        <w:rPr>
          <w:rFonts w:ascii="Calibri Light" w:hAnsi="Calibri Light" w:cs="Calibri Light"/>
          <w:color w:val="0070C0"/>
        </w:rPr>
      </w:pPr>
    </w:p>
    <w:p w:rsidR="007A0834" w:rsidRDefault="007A0834">
      <w:pPr>
        <w:spacing w:line="276" w:lineRule="auto"/>
        <w:rPr>
          <w:rFonts w:ascii="Calibri Light" w:hAnsi="Calibri Light" w:cs="Calibri Light"/>
          <w:color w:val="0070C0"/>
        </w:rPr>
      </w:pPr>
    </w:p>
    <w:p w:rsidR="007A0834" w:rsidRDefault="007A0834">
      <w:pPr>
        <w:spacing w:line="276" w:lineRule="auto"/>
        <w:rPr>
          <w:rFonts w:ascii="Calibri Light" w:hAnsi="Calibri Light" w:cs="Calibri Light"/>
          <w:color w:val="0070C0"/>
        </w:rPr>
      </w:pPr>
    </w:p>
    <w:p w:rsidR="007A0834" w:rsidRDefault="007A0834">
      <w:pPr>
        <w:spacing w:line="276" w:lineRule="auto"/>
        <w:rPr>
          <w:rFonts w:ascii="Calibri Light" w:hAnsi="Calibri Light" w:cs="Calibri Light"/>
          <w:color w:val="0070C0"/>
        </w:rPr>
      </w:pPr>
    </w:p>
    <w:p w:rsidR="007A0834" w:rsidRDefault="007A0834">
      <w:pPr>
        <w:spacing w:line="276" w:lineRule="auto"/>
        <w:rPr>
          <w:rFonts w:ascii="Calibri Light" w:hAnsi="Calibri Light" w:cs="Calibri Light"/>
          <w:color w:val="0070C0"/>
        </w:rPr>
      </w:pPr>
    </w:p>
    <w:p w:rsidR="007A0834" w:rsidRDefault="007A0834">
      <w:pPr>
        <w:spacing w:line="276" w:lineRule="auto"/>
        <w:rPr>
          <w:rFonts w:ascii="Calibri Light" w:hAnsi="Calibri Light" w:cs="Calibri Light"/>
          <w:color w:val="0070C0"/>
        </w:rPr>
      </w:pPr>
    </w:p>
    <w:p w:rsidR="007A0834" w:rsidRDefault="007A0834">
      <w:pPr>
        <w:spacing w:line="276" w:lineRule="auto"/>
        <w:rPr>
          <w:rFonts w:ascii="Calibri Light" w:hAnsi="Calibri Light" w:cs="Calibri Light"/>
          <w:color w:val="0070C0"/>
        </w:rPr>
      </w:pPr>
    </w:p>
    <w:p w:rsidR="007A0834" w:rsidRDefault="007A0834">
      <w:pPr>
        <w:spacing w:line="276" w:lineRule="auto"/>
        <w:rPr>
          <w:rFonts w:ascii="Calibri Light" w:hAnsi="Calibri Light" w:cs="Calibri Light"/>
          <w:color w:val="0070C0"/>
        </w:rPr>
      </w:pPr>
    </w:p>
    <w:p w:rsidR="007A0834" w:rsidRDefault="007A0834">
      <w:pPr>
        <w:spacing w:line="276" w:lineRule="auto"/>
        <w:rPr>
          <w:rFonts w:ascii="Calibri Light" w:hAnsi="Calibri Light" w:cs="Calibri Light"/>
          <w:color w:val="0070C0"/>
        </w:rPr>
      </w:pPr>
    </w:p>
    <w:p w:rsidR="007A0834" w:rsidRDefault="007A0834">
      <w:pPr>
        <w:spacing w:line="276" w:lineRule="auto"/>
        <w:rPr>
          <w:rFonts w:ascii="Calibri Light" w:hAnsi="Calibri Light" w:cs="Calibri Light"/>
          <w:color w:val="0070C0"/>
        </w:rPr>
      </w:pPr>
    </w:p>
    <w:p w:rsidR="007A0834" w:rsidRDefault="007A0834">
      <w:pPr>
        <w:spacing w:before="240" w:line="276" w:lineRule="auto"/>
        <w:rPr>
          <w:rFonts w:ascii="Calibri Light" w:hAnsi="Calibri Light" w:cs="Calibri Light"/>
          <w:color w:val="0070C0"/>
        </w:rPr>
      </w:pPr>
    </w:p>
    <w:p w:rsidR="007A0834" w:rsidRDefault="007A0834">
      <w:pPr>
        <w:tabs>
          <w:tab w:val="left" w:pos="7785"/>
        </w:tabs>
        <w:spacing w:before="240" w:line="276" w:lineRule="auto"/>
        <w:rPr>
          <w:rFonts w:ascii="Calibri Light" w:hAnsi="Calibri Light" w:cs="Calibri Light"/>
          <w:color w:val="0070C0"/>
        </w:rPr>
      </w:pPr>
    </w:p>
    <w:p w:rsidR="007A0834" w:rsidRDefault="007D4145">
      <w:pPr>
        <w:spacing w:before="240" w:line="276" w:lineRule="auto"/>
        <w:jc w:val="center"/>
        <w:rPr>
          <w:rFonts w:ascii="Calibri Light" w:hAnsi="Calibri Light" w:cs="Calibri Light"/>
        </w:rPr>
      </w:pPr>
      <w:r>
        <w:rPr>
          <w:rFonts w:ascii="Calibri Light" w:hAnsi="Calibri Light" w:cs="Calibri Light"/>
        </w:rPr>
        <w:t>Samobor, prosinac 2023.</w:t>
      </w:r>
    </w:p>
    <w:p w:rsidR="007A0834" w:rsidRDefault="007A0834">
      <w:pPr>
        <w:keepNext/>
        <w:keepLines/>
        <w:spacing w:after="0"/>
        <w:outlineLvl w:val="0"/>
        <w:rPr>
          <w:rFonts w:asciiTheme="majorHAnsi" w:eastAsiaTheme="majorEastAsia" w:hAnsiTheme="majorHAnsi" w:cstheme="majorHAnsi"/>
          <w:b/>
          <w:color w:val="2E74B5" w:themeColor="accent1" w:themeShade="BF"/>
          <w:sz w:val="28"/>
          <w:szCs w:val="28"/>
        </w:rPr>
      </w:pPr>
      <w:bookmarkStart w:id="0" w:name="_Toc89358643"/>
      <w:bookmarkStart w:id="1" w:name="_Toc410824951"/>
      <w:bookmarkStart w:id="2" w:name="_Toc500420845"/>
    </w:p>
    <w:p w:rsidR="007A0834" w:rsidRDefault="007D4145">
      <w:pPr>
        <w:pStyle w:val="ListParagraph"/>
        <w:keepNext/>
        <w:keepLines/>
        <w:numPr>
          <w:ilvl w:val="0"/>
          <w:numId w:val="33"/>
        </w:numPr>
        <w:spacing w:after="0"/>
        <w:outlineLvl w:val="0"/>
        <w:rPr>
          <w:rFonts w:asciiTheme="majorHAnsi" w:eastAsiaTheme="majorEastAsia" w:hAnsiTheme="majorHAnsi" w:cstheme="majorHAnsi"/>
          <w:b/>
          <w:color w:val="2E74B5" w:themeColor="accent1" w:themeShade="BF"/>
          <w:sz w:val="28"/>
          <w:szCs w:val="28"/>
        </w:rPr>
      </w:pPr>
      <w:r>
        <w:rPr>
          <w:rFonts w:asciiTheme="majorHAnsi" w:eastAsiaTheme="majorEastAsia" w:hAnsiTheme="majorHAnsi" w:cstheme="majorHAnsi"/>
          <w:b/>
          <w:color w:val="2E74B5" w:themeColor="accent1" w:themeShade="BF"/>
          <w:sz w:val="28"/>
          <w:szCs w:val="28"/>
        </w:rPr>
        <w:t>AKTIVNOSTI DRUŠTVA ZA 2023. GODINU</w:t>
      </w:r>
      <w:bookmarkEnd w:id="0"/>
    </w:p>
    <w:p w:rsidR="007A0834" w:rsidRDefault="007D4145">
      <w:pPr>
        <w:tabs>
          <w:tab w:val="left" w:pos="567"/>
        </w:tabs>
        <w:spacing w:after="0"/>
        <w:jc w:val="both"/>
        <w:rPr>
          <w:rFonts w:asciiTheme="majorHAnsi" w:hAnsiTheme="majorHAnsi" w:cstheme="majorHAnsi"/>
        </w:rPr>
      </w:pPr>
      <w:r>
        <w:rPr>
          <w:rFonts w:asciiTheme="majorHAnsi" w:hAnsiTheme="majorHAnsi" w:cstheme="majorHAnsi"/>
        </w:rPr>
        <w:t xml:space="preserve">Direktivom o pročišćavanju </w:t>
      </w:r>
      <w:r>
        <w:rPr>
          <w:rFonts w:asciiTheme="majorHAnsi" w:hAnsiTheme="majorHAnsi" w:cstheme="majorHAnsi"/>
        </w:rPr>
        <w:t>komunalnih otpadnih voda se utvrđuju minimalni standardi i vremenski rasporedi za prikupljanje, pročišćavanje i ispuštanje komunalnih otpadnih voda. Grad Samobor te trgovačko društvo Odvodnja Samobor d.o.o. obvezni su osigurati trajno i kvalitetno obavljan</w:t>
      </w:r>
      <w:r>
        <w:rPr>
          <w:rFonts w:asciiTheme="majorHAnsi" w:hAnsiTheme="majorHAnsi" w:cstheme="majorHAnsi"/>
        </w:rPr>
        <w:t>je djelatnosti, osigurati održavanje komunalnih objekata i uređaja u stanju funkcionalne sposobnosti te poduzimati mjere za očuvanje i zaštitu okoliša. Trgovačko društvo Odvodnja Samobor d.o.o. izvršitelj je Programa</w:t>
      </w:r>
      <w:r>
        <w:rPr>
          <w:rFonts w:asciiTheme="majorHAnsi" w:hAnsiTheme="majorHAnsi" w:cstheme="majorHAnsi"/>
          <w:bCs/>
        </w:rPr>
        <w:t xml:space="preserve"> održavanja komunalne infrastrukture u G</w:t>
      </w:r>
      <w:r>
        <w:rPr>
          <w:rFonts w:asciiTheme="majorHAnsi" w:hAnsiTheme="majorHAnsi" w:cstheme="majorHAnsi"/>
          <w:bCs/>
        </w:rPr>
        <w:t>radu Samoboru</w:t>
      </w:r>
      <w:r>
        <w:rPr>
          <w:rFonts w:asciiTheme="majorHAnsi" w:hAnsiTheme="majorHAnsi" w:cstheme="majorHAnsi"/>
        </w:rPr>
        <w:t xml:space="preserve"> i dužna je o izvršenju Programa Gradskom vijeću Grada Samobora podnijeti godišnje izvješće. S Gradom Samoborom zaključit će godišnji ugovor o obavljanju gore navedenih djelatnosti.</w:t>
      </w:r>
    </w:p>
    <w:p w:rsidR="007A0834" w:rsidRDefault="007A0834">
      <w:pPr>
        <w:keepNext/>
        <w:keepLines/>
        <w:spacing w:before="40" w:after="0"/>
        <w:jc w:val="both"/>
        <w:outlineLvl w:val="1"/>
        <w:rPr>
          <w:rFonts w:asciiTheme="majorHAnsi" w:eastAsiaTheme="majorEastAsia" w:hAnsiTheme="majorHAnsi" w:cstheme="majorHAnsi"/>
          <w:b/>
          <w:color w:val="2E74B5" w:themeColor="accent1" w:themeShade="BF"/>
        </w:rPr>
      </w:pPr>
      <w:bookmarkStart w:id="3" w:name="_Toc89358644"/>
    </w:p>
    <w:p w:rsidR="007A0834" w:rsidRDefault="007D4145">
      <w:pPr>
        <w:pStyle w:val="ListParagraph"/>
        <w:keepNext/>
        <w:keepLines/>
        <w:numPr>
          <w:ilvl w:val="0"/>
          <w:numId w:val="33"/>
        </w:numPr>
        <w:spacing w:after="0" w:line="276" w:lineRule="auto"/>
        <w:outlineLvl w:val="0"/>
        <w:rPr>
          <w:rFonts w:asciiTheme="majorHAnsi" w:eastAsiaTheme="majorEastAsia" w:hAnsiTheme="majorHAnsi" w:cstheme="majorHAnsi"/>
          <w:b/>
          <w:color w:val="2E74B5" w:themeColor="accent1" w:themeShade="BF"/>
          <w:sz w:val="28"/>
          <w:szCs w:val="28"/>
        </w:rPr>
      </w:pPr>
      <w:bookmarkStart w:id="4" w:name="_Toc89358657"/>
      <w:bookmarkEnd w:id="3"/>
      <w:r>
        <w:rPr>
          <w:rFonts w:asciiTheme="majorHAnsi" w:eastAsiaTheme="majorEastAsia" w:hAnsiTheme="majorHAnsi" w:cstheme="majorHAnsi"/>
          <w:b/>
          <w:color w:val="2E74B5" w:themeColor="accent1" w:themeShade="BF"/>
          <w:sz w:val="28"/>
          <w:szCs w:val="28"/>
        </w:rPr>
        <w:t>PLAN PRIHODA I RASHODA</w:t>
      </w:r>
      <w:bookmarkEnd w:id="4"/>
    </w:p>
    <w:p w:rsidR="007A0834" w:rsidRDefault="007D4145">
      <w:pPr>
        <w:spacing w:after="0"/>
        <w:jc w:val="both"/>
        <w:rPr>
          <w:rFonts w:asciiTheme="majorHAnsi" w:hAnsiTheme="majorHAnsi" w:cstheme="majorHAnsi"/>
        </w:rPr>
      </w:pPr>
      <w:r>
        <w:rPr>
          <w:rFonts w:asciiTheme="majorHAnsi" w:hAnsiTheme="majorHAnsi" w:cstheme="majorHAnsi"/>
        </w:rPr>
        <w:t>Temeljem odredbi članka 23. stavak 1.</w:t>
      </w:r>
      <w:r>
        <w:rPr>
          <w:rFonts w:asciiTheme="majorHAnsi" w:hAnsiTheme="majorHAnsi" w:cstheme="majorHAnsi"/>
        </w:rPr>
        <w:t xml:space="preserve"> točka 1. Zakona o vodnim uslugama (NN 66/2019) i članka 8. točke 2. alineja 10. Izjave o osnivanju društva Odvodnja Samobor d.o.o. od 28.12.2021. godine, na 6. sjednici održanoj 29.12.2022., Skupština Društva usvojila je Plan poslovanja trgovačkog društva</w:t>
      </w:r>
      <w:r>
        <w:rPr>
          <w:rFonts w:asciiTheme="majorHAnsi" w:hAnsiTheme="majorHAnsi" w:cstheme="majorHAnsi"/>
        </w:rPr>
        <w:t xml:space="preserve"> Odvodnja Samobor d.o.o. za 2023. godinu.</w:t>
      </w:r>
    </w:p>
    <w:p w:rsidR="007A0834" w:rsidRDefault="007D4145">
      <w:pPr>
        <w:spacing w:after="0"/>
        <w:jc w:val="both"/>
        <w:rPr>
          <w:rFonts w:asciiTheme="majorHAnsi" w:hAnsiTheme="majorHAnsi" w:cstheme="majorHAnsi"/>
        </w:rPr>
      </w:pPr>
      <w:r>
        <w:rPr>
          <w:rFonts w:asciiTheme="majorHAnsi" w:hAnsiTheme="majorHAnsi" w:cstheme="majorHAnsi"/>
        </w:rPr>
        <w:t>Rebalansu plana poslovanja za 2023. godinu se pristupilo radi usklađenja pojedinih stavki prihoda i rashoda u donesenom Planu poslovanja za 2023. godinu. Naime, tijekom poslovanja u 2023. godini došlo je do smanjen</w:t>
      </w:r>
      <w:r>
        <w:rPr>
          <w:rFonts w:asciiTheme="majorHAnsi" w:hAnsiTheme="majorHAnsi" w:cstheme="majorHAnsi"/>
        </w:rPr>
        <w:t xml:space="preserve">ja/povećanja obujma pojedinih troškova i prihoda, te smo ovim rebalansom povećali/smanjili troškove i prihode unutar pojedinih kategorija. </w:t>
      </w:r>
    </w:p>
    <w:p w:rsidR="007A0834" w:rsidRDefault="007D4145">
      <w:pPr>
        <w:spacing w:after="0"/>
        <w:jc w:val="both"/>
        <w:rPr>
          <w:rFonts w:asciiTheme="majorHAnsi" w:hAnsiTheme="majorHAnsi" w:cstheme="majorHAnsi"/>
        </w:rPr>
      </w:pPr>
      <w:r>
        <w:rPr>
          <w:rFonts w:asciiTheme="majorHAnsi" w:hAnsiTheme="majorHAnsi" w:cstheme="majorHAnsi"/>
        </w:rPr>
        <w:t xml:space="preserve">Rebalans plana poslovanja izvršen je temeljem Procjene poslovanja za 2023. godinu, a na bazi poslovanja 01.01.2023. </w:t>
      </w:r>
      <w:r>
        <w:rPr>
          <w:rFonts w:asciiTheme="majorHAnsi" w:hAnsiTheme="majorHAnsi" w:cstheme="majorHAnsi"/>
        </w:rPr>
        <w:t>do 31.10.2023. godine i utvrđenih aktivnosti do kraja godine.</w:t>
      </w:r>
    </w:p>
    <w:p w:rsidR="007A0834" w:rsidRDefault="007A0834">
      <w:pPr>
        <w:spacing w:after="0"/>
        <w:jc w:val="both"/>
        <w:rPr>
          <w:rFonts w:asciiTheme="majorHAnsi" w:hAnsiTheme="majorHAnsi" w:cstheme="majorHAnsi"/>
        </w:rPr>
      </w:pPr>
    </w:p>
    <w:p w:rsidR="007A0834" w:rsidRDefault="007A0834">
      <w:pPr>
        <w:spacing w:after="0"/>
        <w:jc w:val="both"/>
        <w:rPr>
          <w:rFonts w:asciiTheme="majorHAnsi" w:hAnsiTheme="majorHAnsi" w:cstheme="majorHAnsi"/>
        </w:rPr>
      </w:pPr>
    </w:p>
    <w:tbl>
      <w:tblPr>
        <w:tblW w:w="9479" w:type="dxa"/>
        <w:tblLook w:val="04A0" w:firstRow="1" w:lastRow="0" w:firstColumn="1" w:lastColumn="0" w:noHBand="0" w:noVBand="1"/>
      </w:tblPr>
      <w:tblGrid>
        <w:gridCol w:w="656"/>
        <w:gridCol w:w="3592"/>
        <w:gridCol w:w="1067"/>
        <w:gridCol w:w="1067"/>
        <w:gridCol w:w="1067"/>
        <w:gridCol w:w="1049"/>
        <w:gridCol w:w="1049"/>
      </w:tblGrid>
      <w:tr w:rsidR="007A0834">
        <w:trPr>
          <w:trHeight w:val="235"/>
        </w:trPr>
        <w:tc>
          <w:tcPr>
            <w:tcW w:w="6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0834" w:rsidRDefault="007D414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Konto</w:t>
            </w:r>
          </w:p>
        </w:tc>
        <w:tc>
          <w:tcPr>
            <w:tcW w:w="35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0834" w:rsidRDefault="007D414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Opis</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0834" w:rsidRDefault="007D414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Ostvareno 1.1.- 31.10.2023</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0834" w:rsidRDefault="007D4145">
            <w:pPr>
              <w:spacing w:after="0" w:line="240" w:lineRule="auto"/>
              <w:jc w:val="center"/>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Procjena na 31.12.2023.</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0834" w:rsidRDefault="007D4145">
            <w:pPr>
              <w:spacing w:after="0" w:line="240" w:lineRule="auto"/>
              <w:jc w:val="center"/>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Plan za 2023.</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0834" w:rsidRDefault="007D4145">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Izmjena Plana</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0834" w:rsidRDefault="007D4145">
            <w:pPr>
              <w:spacing w:after="0" w:line="240" w:lineRule="auto"/>
              <w:jc w:val="center"/>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Ukupno Plan za 2023.</w:t>
            </w:r>
          </w:p>
        </w:tc>
      </w:tr>
      <w:tr w:rsidR="007A0834">
        <w:trPr>
          <w:trHeight w:val="567"/>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7A0834" w:rsidRDefault="007A0834">
            <w:pPr>
              <w:spacing w:after="0" w:line="240" w:lineRule="auto"/>
              <w:rPr>
                <w:rFonts w:ascii="Calibri" w:eastAsia="Times New Roman" w:hAnsi="Calibri" w:cs="Calibri"/>
                <w:color w:val="000000"/>
                <w:sz w:val="16"/>
                <w:szCs w:val="16"/>
                <w:lang w:eastAsia="hr-HR"/>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rsidR="007A0834" w:rsidRDefault="007A0834">
            <w:pPr>
              <w:spacing w:after="0" w:line="240" w:lineRule="auto"/>
              <w:rPr>
                <w:rFonts w:ascii="Calibri" w:eastAsia="Times New Roman" w:hAnsi="Calibri" w:cs="Calibri"/>
                <w:color w:val="000000"/>
                <w:sz w:val="16"/>
                <w:szCs w:val="16"/>
                <w:lang w:eastAsia="hr-HR"/>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7A0834" w:rsidRDefault="007A0834">
            <w:pPr>
              <w:spacing w:after="0" w:line="240" w:lineRule="auto"/>
              <w:rPr>
                <w:rFonts w:ascii="Calibri" w:eastAsia="Times New Roman" w:hAnsi="Calibri" w:cs="Calibri"/>
                <w:color w:val="000000"/>
                <w:sz w:val="16"/>
                <w:szCs w:val="16"/>
                <w:lang w:eastAsia="hr-HR"/>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7A0834" w:rsidRDefault="007A0834">
            <w:pPr>
              <w:spacing w:after="0" w:line="240" w:lineRule="auto"/>
              <w:rPr>
                <w:rFonts w:ascii="Calibri" w:eastAsia="Times New Roman" w:hAnsi="Calibri" w:cs="Calibri"/>
                <w:color w:val="00B050"/>
                <w:sz w:val="16"/>
                <w:szCs w:val="16"/>
                <w:lang w:eastAsia="hr-HR"/>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7A0834" w:rsidRDefault="007A0834">
            <w:pPr>
              <w:spacing w:after="0" w:line="240" w:lineRule="auto"/>
              <w:rPr>
                <w:rFonts w:ascii="Calibri" w:eastAsia="Times New Roman" w:hAnsi="Calibri" w:cs="Calibri"/>
                <w:color w:val="0070C0"/>
                <w:sz w:val="16"/>
                <w:szCs w:val="16"/>
                <w:lang w:eastAsia="hr-HR"/>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7A0834" w:rsidRDefault="007A0834">
            <w:pPr>
              <w:spacing w:after="0" w:line="240" w:lineRule="auto"/>
              <w:rPr>
                <w:rFonts w:ascii="Calibri" w:eastAsia="Times New Roman" w:hAnsi="Calibri" w:cs="Calibri"/>
                <w:color w:val="000000"/>
                <w:sz w:val="16"/>
                <w:szCs w:val="16"/>
                <w:lang w:eastAsia="hr-HR"/>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7A0834" w:rsidRDefault="007A0834">
            <w:pPr>
              <w:spacing w:after="0" w:line="240" w:lineRule="auto"/>
              <w:rPr>
                <w:rFonts w:ascii="Calibri" w:eastAsia="Times New Roman" w:hAnsi="Calibri" w:cs="Calibri"/>
                <w:color w:val="0070C0"/>
                <w:sz w:val="16"/>
                <w:szCs w:val="16"/>
                <w:lang w:eastAsia="hr-HR"/>
              </w:rPr>
            </w:pPr>
          </w:p>
        </w:tc>
      </w:tr>
      <w:tr w:rsidR="007A0834">
        <w:trPr>
          <w:trHeight w:val="249"/>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Troškovi sirovina i materijala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113.165,09</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135.798,11</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133.000,00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27.000,00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160.000</w:t>
            </w:r>
          </w:p>
        </w:tc>
      </w:tr>
      <w:tr w:rsidR="007A0834">
        <w:trPr>
          <w:trHeight w:val="249"/>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401</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Materijalni </w:t>
            </w:r>
            <w:proofErr w:type="spellStart"/>
            <w:r>
              <w:rPr>
                <w:rFonts w:ascii="Calibri" w:eastAsia="Times New Roman" w:hAnsi="Calibri" w:cs="Calibri"/>
                <w:color w:val="000000"/>
                <w:sz w:val="16"/>
                <w:szCs w:val="16"/>
                <w:lang w:eastAsia="hr-HR"/>
              </w:rPr>
              <w:t>troš.administr.uprave</w:t>
            </w:r>
            <w:proofErr w:type="spellEnd"/>
            <w:r>
              <w:rPr>
                <w:rFonts w:ascii="Calibri" w:eastAsia="Times New Roman" w:hAnsi="Calibri" w:cs="Calibri"/>
                <w:color w:val="000000"/>
                <w:sz w:val="16"/>
                <w:szCs w:val="16"/>
                <w:lang w:eastAsia="hr-HR"/>
              </w:rPr>
              <w:t xml:space="preserve"> i prodaje</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3.739,38</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4.487,26</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3.400,00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1.600,00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5.000</w:t>
            </w:r>
          </w:p>
        </w:tc>
      </w:tr>
      <w:tr w:rsidR="007A0834">
        <w:trPr>
          <w:trHeight w:val="249"/>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4040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Troškovi sitnog inventara, zaštitne odjeće i </w:t>
            </w:r>
            <w:proofErr w:type="spellStart"/>
            <w:r>
              <w:rPr>
                <w:rFonts w:ascii="Calibri" w:eastAsia="Times New Roman" w:hAnsi="Calibri" w:cs="Calibri"/>
                <w:color w:val="000000"/>
                <w:sz w:val="16"/>
                <w:szCs w:val="16"/>
                <w:lang w:eastAsia="hr-HR"/>
              </w:rPr>
              <w:t>autoguma</w:t>
            </w:r>
            <w:proofErr w:type="spellEnd"/>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4.979,93</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5.975,92</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10.000,00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6.000</w:t>
            </w:r>
          </w:p>
        </w:tc>
      </w:tr>
      <w:tr w:rsidR="007A0834">
        <w:trPr>
          <w:trHeight w:val="249"/>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4060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Električna energija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25.918,74</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31.102,49</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20.000,00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13.000,00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33.000</w:t>
            </w:r>
          </w:p>
        </w:tc>
      </w:tr>
      <w:tr w:rsidR="007A0834">
        <w:trPr>
          <w:trHeight w:val="249"/>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4063</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Dizelsko gorivo</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32.663,85</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39.196,62</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50.000</w:t>
            </w:r>
          </w:p>
        </w:tc>
      </w:tr>
      <w:tr w:rsidR="007A0834">
        <w:trPr>
          <w:trHeight w:val="249"/>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4064</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Benzin, ulje i mazivo</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2.245,57</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2.694,68</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w:t>
            </w:r>
          </w:p>
        </w:tc>
      </w:tr>
      <w:tr w:rsidR="007A0834">
        <w:trPr>
          <w:trHeight w:val="249"/>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Troškovi telefona, interneta, poštarine i sl.</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5.512,86</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6.615,43</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6.600,00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6.600</w:t>
            </w:r>
          </w:p>
        </w:tc>
      </w:tr>
      <w:tr w:rsidR="007A0834">
        <w:trPr>
          <w:trHeight w:val="249"/>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411</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Troškovi vanjskih usluga pri izradi dobara i sl.</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109.161,39</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130.993,67</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93.000,00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47.000,00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140.000</w:t>
            </w:r>
          </w:p>
        </w:tc>
      </w:tr>
      <w:tr w:rsidR="007A0834">
        <w:trPr>
          <w:trHeight w:val="249"/>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412</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Usluge održavanja i zaštite (servisne usluge)</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b/>
                <w:bCs/>
                <w:i/>
                <w:iCs/>
                <w:color w:val="000000"/>
                <w:sz w:val="16"/>
                <w:szCs w:val="16"/>
                <w:lang w:eastAsia="hr-HR"/>
              </w:rPr>
            </w:pPr>
            <w:r>
              <w:rPr>
                <w:rFonts w:ascii="Calibri" w:eastAsia="Times New Roman" w:hAnsi="Calibri" w:cs="Calibri"/>
                <w:b/>
                <w:bCs/>
                <w:i/>
                <w:iCs/>
                <w:color w:val="000000"/>
                <w:sz w:val="16"/>
                <w:szCs w:val="16"/>
                <w:lang w:eastAsia="hr-HR"/>
              </w:rPr>
              <w:t>53.915,52</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64.698,62</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60.000,00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70.000</w:t>
            </w:r>
          </w:p>
        </w:tc>
      </w:tr>
      <w:tr w:rsidR="007A0834">
        <w:trPr>
          <w:trHeight w:val="249"/>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414</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Usluge najma i zakupa poslovnog prostora i </w:t>
            </w:r>
            <w:r>
              <w:rPr>
                <w:rFonts w:ascii="Calibri" w:eastAsia="Times New Roman" w:hAnsi="Calibri" w:cs="Calibri"/>
                <w:color w:val="000000"/>
                <w:sz w:val="16"/>
                <w:szCs w:val="16"/>
                <w:lang w:eastAsia="hr-HR"/>
              </w:rPr>
              <w:t>opreme</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44.470,94</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53.365,13</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32.000,00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28.000,00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60.000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4164</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Usluga obračuna i naplate odvodnje i NZR</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42.072,75</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56.097,00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46.000,00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55.000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418</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Usluge reprezentacije - ugošćivanja i posredovanja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b/>
                <w:bCs/>
                <w:i/>
                <w:iCs/>
                <w:color w:val="000000"/>
                <w:sz w:val="16"/>
                <w:szCs w:val="16"/>
                <w:lang w:eastAsia="hr-HR"/>
              </w:rPr>
            </w:pPr>
            <w:r>
              <w:rPr>
                <w:rFonts w:ascii="Calibri" w:eastAsia="Times New Roman" w:hAnsi="Calibri" w:cs="Calibri"/>
                <w:b/>
                <w:bCs/>
                <w:i/>
                <w:iCs/>
                <w:color w:val="000000"/>
                <w:sz w:val="16"/>
                <w:szCs w:val="16"/>
                <w:lang w:eastAsia="hr-HR"/>
              </w:rPr>
              <w:t>1.272,04</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7.000,00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2.600,00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4.400,00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7.000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419</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Troškovi ostalih vanjskih usluga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30.923,77</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37.108,52</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46.000,00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4200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Neto plaća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295.120,43</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365.000,00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332.000,00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33.000,00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365.000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4210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Porezi i doprinosi iz plaća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108.367,20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135.000,00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117.000,00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135.000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4220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Doprinosi na </w:t>
            </w:r>
            <w:r>
              <w:rPr>
                <w:rFonts w:ascii="Calibri" w:eastAsia="Times New Roman" w:hAnsi="Calibri" w:cs="Calibri"/>
                <w:color w:val="000000"/>
                <w:sz w:val="16"/>
                <w:szCs w:val="16"/>
                <w:lang w:eastAsia="hr-HR"/>
              </w:rPr>
              <w:t>plaću</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69.464,14</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86.000,00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78.000,00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8.000,00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86.000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43</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AMORTIZACIJA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308.280,29</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430.000,00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30.000,00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430.000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4450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Vrijednosno usklađenje kupaca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 </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461</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Nadoknade troškova, darovi i potpore radnicima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59.415,66</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71.298,79</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76.000,00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76.000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lastRenderedPageBreak/>
              <w:t>4620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Nadoknade članovima nadzornog odbora i uprave</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5.201,80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6.242,16</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9.300,00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6.300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464</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Premija osiguranja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24.704,01</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29.644,81</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30.000,00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47</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Kamate</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b/>
                <w:bCs/>
                <w:i/>
                <w:iCs/>
                <w:color w:val="000000"/>
                <w:sz w:val="16"/>
                <w:szCs w:val="16"/>
                <w:lang w:eastAsia="hr-HR"/>
              </w:rPr>
            </w:pPr>
            <w:r>
              <w:rPr>
                <w:rFonts w:ascii="Calibri" w:eastAsia="Times New Roman" w:hAnsi="Calibri" w:cs="Calibri"/>
                <w:b/>
                <w:bCs/>
                <w:i/>
                <w:iCs/>
                <w:color w:val="000000"/>
                <w:sz w:val="16"/>
                <w:szCs w:val="16"/>
                <w:lang w:eastAsia="hr-HR"/>
              </w:rPr>
              <w:t>7.206,26</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8.647,51</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10.000,00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48</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OSTALI POSLOVNI </w:t>
            </w:r>
            <w:r>
              <w:rPr>
                <w:rFonts w:ascii="Calibri" w:eastAsia="Times New Roman" w:hAnsi="Calibri" w:cs="Calibri"/>
                <w:color w:val="000000"/>
                <w:sz w:val="16"/>
                <w:szCs w:val="16"/>
                <w:lang w:eastAsia="hr-HR"/>
              </w:rPr>
              <w:t>RASHODI</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24.212,86</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29.055,43</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26.000,00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30.000</w:t>
            </w:r>
          </w:p>
        </w:tc>
      </w:tr>
      <w:tr w:rsidR="007A0834">
        <w:trPr>
          <w:trHeight w:val="27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TROŠKOVI PO VRSTAMA,FINANCIJSKI I OSTALI RASHODI</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1.372.014,48</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1.736.022,16</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1.574.900,00</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230.400,00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1.805.300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7501</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održavanja javne odvodnje-nova cijena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175.668,44</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292.780,73</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 </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300.000,00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300.000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7503</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usluga pražnjena septičkih jama-nova cijena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14.500,32</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24.167,20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 </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25.000,00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25.000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7510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održavanja javne odvodnje</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236.812,69</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236.812,69</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412.000,00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-172.000,00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240.000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7511</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usluga pražnjena septičkih jama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23.705,46</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23.705,46</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45.000,00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-21.000,00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24.000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7512</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izrade priključaka na javnu odvodnju</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41.427,73</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49.713,28</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10.000,00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7513</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izdavanja raznih potvrda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384,58</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461,50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530,00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530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7514</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Prihodi od najma vozila i </w:t>
            </w:r>
            <w:r>
              <w:rPr>
                <w:rFonts w:ascii="Calibri" w:eastAsia="Times New Roman" w:hAnsi="Calibri" w:cs="Calibri"/>
                <w:color w:val="000000"/>
                <w:sz w:val="16"/>
                <w:szCs w:val="16"/>
                <w:lang w:eastAsia="hr-HR"/>
              </w:rPr>
              <w:t>strojeva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10.591,53</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12.709,84</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 </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11.000,00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11.000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7515</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Grada za održavanje slivnika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353.803,88</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400.000,00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320.000,00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80.000,00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7860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investicija u vlastitoj režiji</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223.976,46</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400.000,00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292.000,00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108.000,00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400.000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7710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redovnih kamata i tečajne razlike</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228,15</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273,78</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160,00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140,00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783</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Prihodi od </w:t>
            </w:r>
            <w:proofErr w:type="spellStart"/>
            <w:r>
              <w:rPr>
                <w:rFonts w:ascii="Calibri" w:eastAsia="Times New Roman" w:hAnsi="Calibri" w:cs="Calibri"/>
                <w:color w:val="000000"/>
                <w:sz w:val="16"/>
                <w:szCs w:val="16"/>
                <w:lang w:eastAsia="hr-HR"/>
              </w:rPr>
              <w:t>prefakturiranih</w:t>
            </w:r>
            <w:proofErr w:type="spellEnd"/>
            <w:r>
              <w:rPr>
                <w:rFonts w:ascii="Calibri" w:eastAsia="Times New Roman" w:hAnsi="Calibri" w:cs="Calibri"/>
                <w:color w:val="000000"/>
                <w:sz w:val="16"/>
                <w:szCs w:val="16"/>
                <w:lang w:eastAsia="hr-HR"/>
              </w:rPr>
              <w:t xml:space="preserve"> troškova, isplate šteta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44.236,60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53.083,92</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133.000,00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-83.000,00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7832</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državnih potpora (HSFI 15 i MRS 20)</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307.769,04</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375.000,00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345.000,00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30.000,00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375.000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7881</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prodaje dugotrajne imovine</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5.520,00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5.520,00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 </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5.500,00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5.500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7833</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 od subvencija, dotacija i pomoći</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15.581,32</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18.697,58</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20.000,00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20.000</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7840</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Prihodi od ukidanja revalorizacijske pričuve</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B050"/>
                <w:sz w:val="16"/>
                <w:szCs w:val="16"/>
                <w:lang w:eastAsia="hr-HR"/>
              </w:rPr>
            </w:pPr>
            <w:r>
              <w:rPr>
                <w:rFonts w:ascii="Calibri" w:eastAsia="Times New Roman" w:hAnsi="Calibri" w:cs="Calibri"/>
                <w:color w:val="00B050"/>
                <w:sz w:val="16"/>
                <w:szCs w:val="16"/>
                <w:lang w:eastAsia="hr-HR"/>
              </w:rPr>
              <w:t>0,00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sz w:val="16"/>
                <w:szCs w:val="16"/>
                <w:lang w:eastAsia="hr-HR"/>
              </w:rPr>
            </w:pPr>
            <w:r>
              <w:rPr>
                <w:rFonts w:ascii="Calibri" w:eastAsia="Times New Roman" w:hAnsi="Calibri" w:cs="Calibri"/>
                <w:sz w:val="16"/>
                <w:szCs w:val="16"/>
                <w:lang w:eastAsia="hr-HR"/>
              </w:rPr>
              <w:t>0,00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70C0"/>
                <w:sz w:val="16"/>
                <w:szCs w:val="16"/>
                <w:lang w:eastAsia="hr-HR"/>
              </w:rPr>
            </w:pPr>
            <w:r>
              <w:rPr>
                <w:rFonts w:ascii="Calibri" w:eastAsia="Times New Roman" w:hAnsi="Calibri" w:cs="Calibri"/>
                <w:color w:val="0070C0"/>
                <w:sz w:val="16"/>
                <w:szCs w:val="16"/>
                <w:lang w:eastAsia="hr-HR"/>
              </w:rPr>
              <w:t> </w:t>
            </w:r>
          </w:p>
        </w:tc>
      </w:tr>
      <w:tr w:rsidR="007A0834">
        <w:trPr>
          <w:trHeight w:val="2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7</w:t>
            </w:r>
          </w:p>
        </w:tc>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POKRIĆE RASHODA I PRIHODI RAZDOBLJA</w:t>
            </w:r>
          </w:p>
        </w:tc>
        <w:tc>
          <w:tcPr>
            <w:tcW w:w="99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1.454.206,20</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1.892.925,98</w:t>
            </w:r>
          </w:p>
        </w:tc>
        <w:tc>
          <w:tcPr>
            <w:tcW w:w="1067"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1.587.690,00</w:t>
            </w:r>
          </w:p>
        </w:tc>
        <w:tc>
          <w:tcPr>
            <w:tcW w:w="1049" w:type="dxa"/>
            <w:tcBorders>
              <w:top w:val="nil"/>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313.640,00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1.901.330</w:t>
            </w:r>
          </w:p>
        </w:tc>
      </w:tr>
      <w:tr w:rsidR="007A0834">
        <w:trPr>
          <w:trHeight w:val="27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w:t>
            </w:r>
          </w:p>
        </w:tc>
        <w:tc>
          <w:tcPr>
            <w:tcW w:w="3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DOBIT/GUBITAK PRIJE OPOREZIVANJA</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82.191,72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156.903,82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12.790,00</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83.240,00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834" w:rsidRDefault="007D4145">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96.030</w:t>
            </w:r>
          </w:p>
        </w:tc>
      </w:tr>
    </w:tbl>
    <w:p w:rsidR="007A0834" w:rsidRDefault="007A0834">
      <w:pPr>
        <w:spacing w:after="0"/>
        <w:jc w:val="both"/>
        <w:rPr>
          <w:rFonts w:asciiTheme="majorHAnsi" w:hAnsiTheme="majorHAnsi" w:cstheme="majorHAnsi"/>
        </w:rPr>
      </w:pPr>
    </w:p>
    <w:p w:rsidR="007A0834" w:rsidRDefault="007A0834">
      <w:pPr>
        <w:jc w:val="both"/>
      </w:pPr>
      <w:bookmarkStart w:id="5" w:name="_Toc410824952"/>
      <w:bookmarkStart w:id="6" w:name="_Toc500420846"/>
      <w:bookmarkEnd w:id="1"/>
      <w:bookmarkEnd w:id="2"/>
    </w:p>
    <w:p w:rsidR="007A0834" w:rsidRDefault="007D4145">
      <w:pPr>
        <w:pStyle w:val="Heading1"/>
        <w:numPr>
          <w:ilvl w:val="0"/>
          <w:numId w:val="33"/>
        </w:numPr>
        <w:spacing w:before="0" w:line="276" w:lineRule="auto"/>
        <w:rPr>
          <w:rFonts w:asciiTheme="majorHAnsi" w:hAnsiTheme="majorHAnsi" w:cstheme="majorHAnsi"/>
          <w:color w:val="0070C0"/>
        </w:rPr>
      </w:pPr>
      <w:r>
        <w:rPr>
          <w:rFonts w:asciiTheme="majorHAnsi" w:hAnsiTheme="majorHAnsi" w:cstheme="majorHAnsi"/>
          <w:color w:val="0070C0"/>
        </w:rPr>
        <w:t>OBRAZLOŽENJE</w:t>
      </w:r>
    </w:p>
    <w:p w:rsidR="007A0834" w:rsidRDefault="007D4145">
      <w:pPr>
        <w:autoSpaceDE w:val="0"/>
        <w:autoSpaceDN w:val="0"/>
        <w:adjustRightInd w:val="0"/>
        <w:spacing w:after="0"/>
        <w:jc w:val="both"/>
        <w:rPr>
          <w:rFonts w:asciiTheme="majorHAnsi" w:hAnsiTheme="majorHAnsi" w:cstheme="majorHAnsi"/>
        </w:rPr>
      </w:pPr>
      <w:r>
        <w:rPr>
          <w:rFonts w:asciiTheme="majorHAnsi" w:hAnsiTheme="majorHAnsi" w:cstheme="majorHAnsi"/>
        </w:rPr>
        <w:t>Sustav odvodnje grada Samobora čini:</w:t>
      </w:r>
    </w:p>
    <w:p w:rsidR="007A0834" w:rsidRDefault="007D4145">
      <w:p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 • 242 km mreže kanalizacijskih cjevovoda (profil od DN 300 do DN 1400 mm),</w:t>
      </w:r>
    </w:p>
    <w:p w:rsidR="007A0834" w:rsidRDefault="007D4145">
      <w:pPr>
        <w:autoSpaceDE w:val="0"/>
        <w:autoSpaceDN w:val="0"/>
        <w:adjustRightInd w:val="0"/>
        <w:spacing w:after="0"/>
        <w:jc w:val="both"/>
        <w:rPr>
          <w:rFonts w:asciiTheme="majorHAnsi" w:hAnsiTheme="majorHAnsi" w:cstheme="majorHAnsi"/>
        </w:rPr>
      </w:pPr>
      <w:r>
        <w:rPr>
          <w:rFonts w:asciiTheme="majorHAnsi" w:hAnsiTheme="majorHAnsi" w:cstheme="majorHAnsi"/>
        </w:rPr>
        <w:t>• 15 crpnih stanica s 33 crpke i pripadajućim tlačnim cjevovodima,</w:t>
      </w:r>
    </w:p>
    <w:p w:rsidR="007A0834" w:rsidRDefault="007D4145">
      <w:pPr>
        <w:autoSpaceDE w:val="0"/>
        <w:autoSpaceDN w:val="0"/>
        <w:adjustRightInd w:val="0"/>
        <w:spacing w:after="0"/>
        <w:jc w:val="both"/>
        <w:rPr>
          <w:rFonts w:asciiTheme="majorHAnsi" w:hAnsiTheme="majorHAnsi" w:cstheme="majorHAnsi"/>
        </w:rPr>
      </w:pPr>
      <w:r>
        <w:rPr>
          <w:rFonts w:asciiTheme="majorHAnsi" w:hAnsiTheme="majorHAnsi" w:cstheme="majorHAnsi"/>
        </w:rPr>
        <w:t>• 5817 kanalizacijskih priključaka,</w:t>
      </w:r>
    </w:p>
    <w:p w:rsidR="007A0834" w:rsidRDefault="007D4145">
      <w:pPr>
        <w:autoSpaceDE w:val="0"/>
        <w:autoSpaceDN w:val="0"/>
        <w:adjustRightInd w:val="0"/>
        <w:spacing w:after="0"/>
        <w:jc w:val="both"/>
        <w:rPr>
          <w:rFonts w:asciiTheme="majorHAnsi" w:hAnsiTheme="majorHAnsi" w:cstheme="majorHAnsi"/>
        </w:rPr>
      </w:pPr>
      <w:r>
        <w:rPr>
          <w:rFonts w:asciiTheme="majorHAnsi" w:hAnsiTheme="majorHAnsi" w:cstheme="majorHAnsi"/>
        </w:rPr>
        <w:t>• 2 ispusta preljevnih voda iz mješovitog sustava javne odvodnje u kišnom raz</w:t>
      </w:r>
      <w:r>
        <w:rPr>
          <w:rFonts w:asciiTheme="majorHAnsi" w:hAnsiTheme="majorHAnsi" w:cstheme="majorHAnsi"/>
        </w:rPr>
        <w:t xml:space="preserve">doblju – u vodotok </w:t>
      </w:r>
      <w:proofErr w:type="spellStart"/>
      <w:r>
        <w:rPr>
          <w:rFonts w:asciiTheme="majorHAnsi" w:hAnsiTheme="majorHAnsi" w:cstheme="majorHAnsi"/>
        </w:rPr>
        <w:t>Gradna</w:t>
      </w:r>
      <w:proofErr w:type="spellEnd"/>
      <w:r>
        <w:rPr>
          <w:rFonts w:asciiTheme="majorHAnsi" w:hAnsiTheme="majorHAnsi" w:cstheme="majorHAnsi"/>
        </w:rPr>
        <w:t xml:space="preserve"> i Bregana,</w:t>
      </w:r>
    </w:p>
    <w:p w:rsidR="007A0834" w:rsidRDefault="007D4145">
      <w:pPr>
        <w:autoSpaceDE w:val="0"/>
        <w:autoSpaceDN w:val="0"/>
        <w:adjustRightInd w:val="0"/>
        <w:spacing w:after="0"/>
        <w:jc w:val="both"/>
        <w:rPr>
          <w:rFonts w:asciiTheme="majorHAnsi" w:hAnsiTheme="majorHAnsi" w:cstheme="majorHAnsi"/>
        </w:rPr>
      </w:pPr>
      <w:r>
        <w:rPr>
          <w:rFonts w:asciiTheme="majorHAnsi" w:hAnsiTheme="majorHAnsi" w:cstheme="majorHAnsi"/>
        </w:rPr>
        <w:t>• 2 privremena ispusta otpadnih voda aglomeracije Samobor (do izgradnje UPOV-a s III. stupnjem pročišćavanja otpadnih voda) - u vodotok Sava i Bistrac,</w:t>
      </w:r>
    </w:p>
    <w:p w:rsidR="007A0834" w:rsidRDefault="007D4145">
      <w:p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 1 </w:t>
      </w:r>
      <w:proofErr w:type="spellStart"/>
      <w:r>
        <w:rPr>
          <w:rFonts w:asciiTheme="majorHAnsi" w:hAnsiTheme="majorHAnsi" w:cstheme="majorHAnsi"/>
        </w:rPr>
        <w:t>retencijska</w:t>
      </w:r>
      <w:proofErr w:type="spellEnd"/>
      <w:r>
        <w:rPr>
          <w:rFonts w:asciiTheme="majorHAnsi" w:hAnsiTheme="majorHAnsi" w:cstheme="majorHAnsi"/>
        </w:rPr>
        <w:t xml:space="preserve"> građevina na sustavu javne odvodnje u naselju Periv</w:t>
      </w:r>
      <w:r>
        <w:rPr>
          <w:rFonts w:asciiTheme="majorHAnsi" w:hAnsiTheme="majorHAnsi" w:cstheme="majorHAnsi"/>
        </w:rPr>
        <w:t>oj (duljina 62 m, PE CIJEV DN 1600 mm).</w:t>
      </w:r>
    </w:p>
    <w:p w:rsidR="007A0834" w:rsidRDefault="007D4145">
      <w:p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Obzirom na duljinu izgrađenog sustava odvodnje, sukladno dijelu III. Tehnička opremljenost, Čl. 4. Pravilnika o posebnim uvjetima za obavljanje djelatnosti odvodnje (NN br. 28/11), Odvodnja Samobor d.o.o., posjeduje </w:t>
      </w:r>
      <w:r>
        <w:rPr>
          <w:rFonts w:asciiTheme="majorHAnsi" w:hAnsiTheme="majorHAnsi" w:cstheme="majorHAnsi"/>
        </w:rPr>
        <w:t>opseg opreme i strojeva za upravljanje i održavanje građevina za javnu odvodnju:</w:t>
      </w:r>
    </w:p>
    <w:p w:rsidR="007A0834" w:rsidRDefault="007A0834">
      <w:pPr>
        <w:autoSpaceDE w:val="0"/>
        <w:autoSpaceDN w:val="0"/>
        <w:adjustRightInd w:val="0"/>
        <w:spacing w:after="0"/>
        <w:jc w:val="both"/>
        <w:rPr>
          <w:rFonts w:asciiTheme="majorHAnsi" w:hAnsiTheme="majorHAnsi" w:cstheme="majorHAnsi"/>
        </w:rPr>
      </w:pPr>
    </w:p>
    <w:p w:rsidR="007A0834" w:rsidRDefault="007D4145">
      <w:pPr>
        <w:pStyle w:val="ListParagraph"/>
        <w:numPr>
          <w:ilvl w:val="0"/>
          <w:numId w:val="34"/>
        </w:numPr>
        <w:autoSpaceDE w:val="0"/>
        <w:autoSpaceDN w:val="0"/>
        <w:adjustRightInd w:val="0"/>
        <w:spacing w:after="0"/>
        <w:jc w:val="both"/>
        <w:rPr>
          <w:rFonts w:asciiTheme="majorHAnsi" w:hAnsiTheme="majorHAnsi" w:cstheme="majorHAnsi"/>
        </w:rPr>
      </w:pPr>
      <w:r>
        <w:rPr>
          <w:rFonts w:asciiTheme="majorHAnsi" w:hAnsiTheme="majorHAnsi" w:cstheme="majorHAnsi"/>
        </w:rPr>
        <w:t>Specijalno komunalno kombinirano vozilo MAN TGS ZG 2885 IP</w:t>
      </w:r>
      <w:r>
        <w:rPr>
          <w:rFonts w:asciiTheme="majorHAnsi" w:hAnsiTheme="majorHAnsi" w:cstheme="majorHAnsi"/>
        </w:rPr>
        <w:tab/>
      </w:r>
    </w:p>
    <w:p w:rsidR="007A0834" w:rsidRDefault="007D4145">
      <w:pPr>
        <w:pStyle w:val="ListParagraph"/>
        <w:numPr>
          <w:ilvl w:val="0"/>
          <w:numId w:val="34"/>
        </w:numPr>
        <w:autoSpaceDE w:val="0"/>
        <w:autoSpaceDN w:val="0"/>
        <w:adjustRightInd w:val="0"/>
        <w:spacing w:after="0"/>
        <w:jc w:val="both"/>
        <w:rPr>
          <w:rFonts w:asciiTheme="majorHAnsi" w:hAnsiTheme="majorHAnsi" w:cstheme="majorHAnsi"/>
        </w:rPr>
      </w:pPr>
      <w:r>
        <w:rPr>
          <w:rFonts w:asciiTheme="majorHAnsi" w:hAnsiTheme="majorHAnsi" w:cstheme="majorHAnsi"/>
        </w:rPr>
        <w:t>MAN LE 18280 CISTERNA ZG 3911 BH</w:t>
      </w:r>
      <w:r>
        <w:rPr>
          <w:rFonts w:asciiTheme="majorHAnsi" w:hAnsiTheme="majorHAnsi" w:cstheme="majorHAnsi"/>
        </w:rPr>
        <w:tab/>
      </w:r>
    </w:p>
    <w:p w:rsidR="007A0834" w:rsidRDefault="007D4145">
      <w:pPr>
        <w:pStyle w:val="ListParagraph"/>
        <w:numPr>
          <w:ilvl w:val="0"/>
          <w:numId w:val="34"/>
        </w:numPr>
        <w:autoSpaceDE w:val="0"/>
        <w:autoSpaceDN w:val="0"/>
        <w:adjustRightInd w:val="0"/>
        <w:spacing w:after="0"/>
        <w:jc w:val="both"/>
        <w:rPr>
          <w:rFonts w:asciiTheme="majorHAnsi" w:hAnsiTheme="majorHAnsi" w:cstheme="majorHAnsi"/>
        </w:rPr>
      </w:pPr>
      <w:r>
        <w:rPr>
          <w:rFonts w:asciiTheme="majorHAnsi" w:hAnsiTheme="majorHAnsi" w:cstheme="majorHAnsi"/>
        </w:rPr>
        <w:t>ROVOKOPAČ ZG 8407 K</w:t>
      </w:r>
      <w:r>
        <w:rPr>
          <w:rFonts w:asciiTheme="majorHAnsi" w:hAnsiTheme="majorHAnsi" w:cstheme="majorHAnsi"/>
        </w:rPr>
        <w:tab/>
      </w:r>
    </w:p>
    <w:p w:rsidR="007A0834" w:rsidRDefault="007D4145">
      <w:pPr>
        <w:pStyle w:val="ListParagraph"/>
        <w:numPr>
          <w:ilvl w:val="0"/>
          <w:numId w:val="34"/>
        </w:numPr>
        <w:autoSpaceDE w:val="0"/>
        <w:autoSpaceDN w:val="0"/>
        <w:adjustRightInd w:val="0"/>
        <w:spacing w:after="0"/>
        <w:jc w:val="both"/>
        <w:rPr>
          <w:rFonts w:asciiTheme="majorHAnsi" w:hAnsiTheme="majorHAnsi" w:cstheme="majorHAnsi"/>
        </w:rPr>
      </w:pPr>
      <w:r>
        <w:rPr>
          <w:rFonts w:asciiTheme="majorHAnsi" w:hAnsiTheme="majorHAnsi" w:cstheme="majorHAnsi"/>
        </w:rPr>
        <w:t>TERETNO VOZILO FIAT DUCATO  ZG 3906 FJ</w:t>
      </w:r>
      <w:r>
        <w:rPr>
          <w:rFonts w:asciiTheme="majorHAnsi" w:hAnsiTheme="majorHAnsi" w:cstheme="majorHAnsi"/>
        </w:rPr>
        <w:tab/>
      </w:r>
    </w:p>
    <w:p w:rsidR="007A0834" w:rsidRDefault="007D4145">
      <w:pPr>
        <w:pStyle w:val="ListParagraph"/>
        <w:numPr>
          <w:ilvl w:val="0"/>
          <w:numId w:val="34"/>
        </w:num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Volkswagen LNF </w:t>
      </w:r>
      <w:r>
        <w:rPr>
          <w:rFonts w:asciiTheme="majorHAnsi" w:hAnsiTheme="majorHAnsi" w:cstheme="majorHAnsi"/>
        </w:rPr>
        <w:t>CADDY ZG 7331 FU</w:t>
      </w:r>
      <w:r>
        <w:rPr>
          <w:rFonts w:asciiTheme="majorHAnsi" w:hAnsiTheme="majorHAnsi" w:cstheme="majorHAnsi"/>
        </w:rPr>
        <w:tab/>
      </w:r>
    </w:p>
    <w:p w:rsidR="007A0834" w:rsidRDefault="007D4145">
      <w:pPr>
        <w:pStyle w:val="ListParagraph"/>
        <w:numPr>
          <w:ilvl w:val="0"/>
          <w:numId w:val="34"/>
        </w:num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TERETNO VOZILO FIAT DUCATO </w:t>
      </w:r>
      <w:proofErr w:type="spellStart"/>
      <w:r>
        <w:rPr>
          <w:rFonts w:asciiTheme="majorHAnsi" w:hAnsiTheme="majorHAnsi" w:cstheme="majorHAnsi"/>
        </w:rPr>
        <w:t>maxi</w:t>
      </w:r>
      <w:proofErr w:type="spellEnd"/>
      <w:r>
        <w:rPr>
          <w:rFonts w:asciiTheme="majorHAnsi" w:hAnsiTheme="majorHAnsi" w:cstheme="majorHAnsi"/>
        </w:rPr>
        <w:t xml:space="preserve"> ZG 4848 GI</w:t>
      </w:r>
      <w:r>
        <w:rPr>
          <w:rFonts w:asciiTheme="majorHAnsi" w:hAnsiTheme="majorHAnsi" w:cstheme="majorHAnsi"/>
        </w:rPr>
        <w:tab/>
      </w:r>
    </w:p>
    <w:p w:rsidR="007A0834" w:rsidRDefault="007D4145">
      <w:pPr>
        <w:pStyle w:val="ListParagraph"/>
        <w:numPr>
          <w:ilvl w:val="0"/>
          <w:numId w:val="34"/>
        </w:numPr>
        <w:autoSpaceDE w:val="0"/>
        <w:autoSpaceDN w:val="0"/>
        <w:adjustRightInd w:val="0"/>
        <w:spacing w:after="0"/>
        <w:jc w:val="both"/>
        <w:rPr>
          <w:rFonts w:asciiTheme="majorHAnsi" w:hAnsiTheme="majorHAnsi" w:cstheme="majorHAnsi"/>
        </w:rPr>
      </w:pPr>
      <w:proofErr w:type="spellStart"/>
      <w:r>
        <w:rPr>
          <w:rFonts w:asciiTheme="majorHAnsi" w:hAnsiTheme="majorHAnsi" w:cstheme="majorHAnsi"/>
        </w:rPr>
        <w:t>Minibager</w:t>
      </w:r>
      <w:proofErr w:type="spellEnd"/>
      <w:r>
        <w:rPr>
          <w:rFonts w:asciiTheme="majorHAnsi" w:hAnsiTheme="majorHAnsi" w:cstheme="majorHAnsi"/>
        </w:rPr>
        <w:t xml:space="preserve"> </w:t>
      </w:r>
      <w:proofErr w:type="spellStart"/>
      <w:r>
        <w:rPr>
          <w:rFonts w:asciiTheme="majorHAnsi" w:hAnsiTheme="majorHAnsi" w:cstheme="majorHAnsi"/>
        </w:rPr>
        <w:t>Yanmar</w:t>
      </w:r>
      <w:proofErr w:type="spellEnd"/>
      <w:r>
        <w:rPr>
          <w:rFonts w:asciiTheme="majorHAnsi" w:hAnsiTheme="majorHAnsi" w:cstheme="majorHAnsi"/>
        </w:rPr>
        <w:t xml:space="preserve"> sa hidrauličnim čekićem</w:t>
      </w:r>
      <w:r>
        <w:rPr>
          <w:rFonts w:asciiTheme="majorHAnsi" w:hAnsiTheme="majorHAnsi" w:cstheme="majorHAnsi"/>
        </w:rPr>
        <w:tab/>
      </w:r>
    </w:p>
    <w:p w:rsidR="007A0834" w:rsidRDefault="007D4145">
      <w:pPr>
        <w:pStyle w:val="ListParagraph"/>
        <w:numPr>
          <w:ilvl w:val="0"/>
          <w:numId w:val="34"/>
        </w:numPr>
        <w:autoSpaceDE w:val="0"/>
        <w:autoSpaceDN w:val="0"/>
        <w:adjustRightInd w:val="0"/>
        <w:spacing w:after="0"/>
        <w:jc w:val="both"/>
        <w:rPr>
          <w:rFonts w:asciiTheme="majorHAnsi" w:hAnsiTheme="majorHAnsi" w:cstheme="majorHAnsi"/>
        </w:rPr>
      </w:pPr>
      <w:r>
        <w:rPr>
          <w:rFonts w:asciiTheme="majorHAnsi" w:hAnsiTheme="majorHAnsi" w:cstheme="majorHAnsi"/>
        </w:rPr>
        <w:t>Teretno vozilo Mercedes-</w:t>
      </w:r>
      <w:proofErr w:type="spellStart"/>
      <w:r>
        <w:rPr>
          <w:rFonts w:asciiTheme="majorHAnsi" w:hAnsiTheme="majorHAnsi" w:cstheme="majorHAnsi"/>
        </w:rPr>
        <w:t>Benz</w:t>
      </w:r>
      <w:proofErr w:type="spellEnd"/>
      <w:r>
        <w:rPr>
          <w:rFonts w:asciiTheme="majorHAnsi" w:hAnsiTheme="majorHAnsi" w:cstheme="majorHAnsi"/>
        </w:rPr>
        <w:t xml:space="preserve"> ZG 1051 GR</w:t>
      </w:r>
      <w:r>
        <w:rPr>
          <w:rFonts w:asciiTheme="majorHAnsi" w:hAnsiTheme="majorHAnsi" w:cstheme="majorHAnsi"/>
        </w:rPr>
        <w:tab/>
      </w:r>
    </w:p>
    <w:p w:rsidR="007A0834" w:rsidRDefault="007D4145">
      <w:pPr>
        <w:pStyle w:val="ListParagraph"/>
        <w:numPr>
          <w:ilvl w:val="0"/>
          <w:numId w:val="34"/>
        </w:num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Rovokopač-utovarivač </w:t>
      </w:r>
      <w:proofErr w:type="spellStart"/>
      <w:r>
        <w:rPr>
          <w:rFonts w:asciiTheme="majorHAnsi" w:hAnsiTheme="majorHAnsi" w:cstheme="majorHAnsi"/>
        </w:rPr>
        <w:t>Terex</w:t>
      </w:r>
      <w:proofErr w:type="spellEnd"/>
      <w:r>
        <w:rPr>
          <w:rFonts w:asciiTheme="majorHAnsi" w:hAnsiTheme="majorHAnsi" w:cstheme="majorHAnsi"/>
        </w:rPr>
        <w:t xml:space="preserve"> </w:t>
      </w:r>
      <w:proofErr w:type="spellStart"/>
      <w:r>
        <w:rPr>
          <w:rFonts w:asciiTheme="majorHAnsi" w:hAnsiTheme="majorHAnsi" w:cstheme="majorHAnsi"/>
        </w:rPr>
        <w:t>Mecalac</w:t>
      </w:r>
      <w:proofErr w:type="spellEnd"/>
      <w:r>
        <w:rPr>
          <w:rFonts w:asciiTheme="majorHAnsi" w:hAnsiTheme="majorHAnsi" w:cstheme="majorHAnsi"/>
        </w:rPr>
        <w:t xml:space="preserve"> TLB990</w:t>
      </w:r>
      <w:r>
        <w:rPr>
          <w:rFonts w:asciiTheme="majorHAnsi" w:hAnsiTheme="majorHAnsi" w:cstheme="majorHAnsi"/>
        </w:rPr>
        <w:tab/>
      </w:r>
    </w:p>
    <w:p w:rsidR="007A0834" w:rsidRDefault="007D4145">
      <w:pPr>
        <w:pStyle w:val="ListParagraph"/>
        <w:numPr>
          <w:ilvl w:val="0"/>
          <w:numId w:val="34"/>
        </w:numPr>
        <w:autoSpaceDE w:val="0"/>
        <w:autoSpaceDN w:val="0"/>
        <w:adjustRightInd w:val="0"/>
        <w:spacing w:after="0"/>
        <w:jc w:val="both"/>
        <w:rPr>
          <w:rFonts w:asciiTheme="majorHAnsi" w:hAnsiTheme="majorHAnsi" w:cstheme="majorHAnsi"/>
        </w:rPr>
      </w:pPr>
      <w:r>
        <w:rPr>
          <w:rFonts w:asciiTheme="majorHAnsi" w:hAnsiTheme="majorHAnsi" w:cstheme="majorHAnsi"/>
        </w:rPr>
        <w:t>Citroen JUMPY LCV Furgon ZG 2913 HV</w:t>
      </w:r>
      <w:r>
        <w:rPr>
          <w:rFonts w:asciiTheme="majorHAnsi" w:hAnsiTheme="majorHAnsi" w:cstheme="majorHAnsi"/>
        </w:rPr>
        <w:tab/>
      </w:r>
    </w:p>
    <w:p w:rsidR="007A0834" w:rsidRDefault="007D4145">
      <w:pPr>
        <w:pStyle w:val="ListParagraph"/>
        <w:numPr>
          <w:ilvl w:val="0"/>
          <w:numId w:val="34"/>
        </w:numPr>
        <w:autoSpaceDE w:val="0"/>
        <w:autoSpaceDN w:val="0"/>
        <w:adjustRightInd w:val="0"/>
        <w:spacing w:after="0"/>
        <w:jc w:val="both"/>
        <w:rPr>
          <w:rFonts w:asciiTheme="majorHAnsi" w:hAnsiTheme="majorHAnsi" w:cstheme="majorHAnsi"/>
        </w:rPr>
      </w:pPr>
      <w:r>
        <w:rPr>
          <w:rFonts w:asciiTheme="majorHAnsi" w:hAnsiTheme="majorHAnsi" w:cstheme="majorHAnsi"/>
        </w:rPr>
        <w:t>Priključno vozilo za prijevoz v</w:t>
      </w:r>
      <w:r>
        <w:rPr>
          <w:rFonts w:asciiTheme="majorHAnsi" w:hAnsiTheme="majorHAnsi" w:cstheme="majorHAnsi"/>
        </w:rPr>
        <w:t>ozila ZG9845 JE</w:t>
      </w:r>
      <w:r>
        <w:rPr>
          <w:rFonts w:asciiTheme="majorHAnsi" w:hAnsiTheme="majorHAnsi" w:cstheme="majorHAnsi"/>
        </w:rPr>
        <w:tab/>
      </w:r>
    </w:p>
    <w:p w:rsidR="007A0834" w:rsidRDefault="007D4145">
      <w:pPr>
        <w:autoSpaceDE w:val="0"/>
        <w:autoSpaceDN w:val="0"/>
        <w:adjustRightInd w:val="0"/>
        <w:spacing w:after="0"/>
        <w:ind w:firstLine="36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UREĐAJ ZA DETEKCIJU PLINOVA DRAGER X-AM 5600</w:t>
      </w:r>
    </w:p>
    <w:p w:rsidR="007A0834" w:rsidRDefault="007D4145">
      <w:pPr>
        <w:autoSpaceDE w:val="0"/>
        <w:autoSpaceDN w:val="0"/>
        <w:adjustRightInd w:val="0"/>
        <w:spacing w:after="0"/>
        <w:ind w:firstLine="36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 xml:space="preserve">Oprema za </w:t>
      </w:r>
      <w:proofErr w:type="spellStart"/>
      <w:r>
        <w:rPr>
          <w:rFonts w:asciiTheme="majorHAnsi" w:hAnsiTheme="majorHAnsi" w:cstheme="majorHAnsi"/>
        </w:rPr>
        <w:t>odzračivanje</w:t>
      </w:r>
      <w:proofErr w:type="spellEnd"/>
      <w:r>
        <w:rPr>
          <w:rFonts w:asciiTheme="majorHAnsi" w:hAnsiTheme="majorHAnsi" w:cstheme="majorHAnsi"/>
        </w:rPr>
        <w:t xml:space="preserve"> šahtova te oprema za ulazak u reviziona okna</w:t>
      </w:r>
    </w:p>
    <w:p w:rsidR="007A0834" w:rsidRDefault="007D4145">
      <w:pPr>
        <w:autoSpaceDE w:val="0"/>
        <w:autoSpaceDN w:val="0"/>
        <w:adjustRightInd w:val="0"/>
        <w:spacing w:after="0"/>
        <w:ind w:firstLine="360"/>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Oprema za automatsko praćenje rada crpnih stanica</w:t>
      </w:r>
    </w:p>
    <w:p w:rsidR="007A0834" w:rsidRDefault="007A0834">
      <w:pPr>
        <w:autoSpaceDE w:val="0"/>
        <w:autoSpaceDN w:val="0"/>
        <w:adjustRightInd w:val="0"/>
        <w:spacing w:after="0"/>
        <w:jc w:val="both"/>
        <w:rPr>
          <w:rFonts w:asciiTheme="majorHAnsi" w:hAnsiTheme="majorHAnsi" w:cstheme="majorHAnsi"/>
        </w:rPr>
      </w:pPr>
    </w:p>
    <w:p w:rsidR="007A0834" w:rsidRDefault="007D4145">
      <w:pPr>
        <w:autoSpaceDE w:val="0"/>
        <w:autoSpaceDN w:val="0"/>
        <w:adjustRightInd w:val="0"/>
        <w:spacing w:after="0"/>
        <w:jc w:val="both"/>
        <w:rPr>
          <w:rFonts w:asciiTheme="majorHAnsi" w:hAnsiTheme="majorHAnsi" w:cstheme="majorHAnsi"/>
        </w:rPr>
      </w:pPr>
      <w:r>
        <w:rPr>
          <w:rFonts w:asciiTheme="majorHAnsi" w:hAnsiTheme="majorHAnsi" w:cstheme="majorHAnsi"/>
        </w:rPr>
        <w:t xml:space="preserve">Odvodnja Samobor d.o.o. za odvodnju i pročišćavanje otpadnih voda na </w:t>
      </w:r>
      <w:r>
        <w:rPr>
          <w:rFonts w:asciiTheme="majorHAnsi" w:hAnsiTheme="majorHAnsi" w:cstheme="majorHAnsi"/>
        </w:rPr>
        <w:t>području grada Samobora, u skladu s Programom održavanja komunalne infrastrukture u gradu Samoboru za 2023. godinu, zadužena je za osiguranje pravovremene i kvalitetne odvodnje prometnih površina, kako bi se osiguralo sigurno korištenje prometnica. Na pros</w:t>
      </w:r>
      <w:r>
        <w:rPr>
          <w:rFonts w:asciiTheme="majorHAnsi" w:hAnsiTheme="majorHAnsi" w:cstheme="majorHAnsi"/>
        </w:rPr>
        <w:t>toru grada Samobora odvodnja prometnica i ulica riješena je sabiranjem oborinskih voda u slivnike, te njihovim odvodom preko priključka slivnika na kanalizaciju u sustav odvodnje grada Samobora.</w:t>
      </w:r>
    </w:p>
    <w:p w:rsidR="007A0834" w:rsidRDefault="007A0834">
      <w:pPr>
        <w:autoSpaceDE w:val="0"/>
        <w:autoSpaceDN w:val="0"/>
        <w:adjustRightInd w:val="0"/>
        <w:spacing w:after="0"/>
        <w:jc w:val="both"/>
        <w:rPr>
          <w:rFonts w:asciiTheme="majorHAnsi" w:hAnsiTheme="majorHAnsi" w:cstheme="majorHAnsi"/>
          <w:sz w:val="21"/>
          <w:szCs w:val="21"/>
        </w:rPr>
      </w:pPr>
    </w:p>
    <w:p w:rsidR="007A0834" w:rsidRDefault="007D4145">
      <w:pPr>
        <w:autoSpaceDE w:val="0"/>
        <w:autoSpaceDN w:val="0"/>
        <w:adjustRightInd w:val="0"/>
        <w:spacing w:after="0"/>
        <w:jc w:val="both"/>
        <w:rPr>
          <w:rFonts w:asciiTheme="majorHAnsi" w:hAnsiTheme="majorHAnsi" w:cstheme="majorHAnsi"/>
          <w:sz w:val="21"/>
          <w:szCs w:val="21"/>
        </w:rPr>
      </w:pPr>
      <w:r>
        <w:rPr>
          <w:rFonts w:asciiTheme="majorHAnsi" w:hAnsiTheme="majorHAnsi" w:cstheme="majorHAnsi"/>
          <w:sz w:val="21"/>
          <w:szCs w:val="21"/>
        </w:rPr>
        <w:t xml:space="preserve">Hrvatske vode, </w:t>
      </w:r>
      <w:proofErr w:type="spellStart"/>
      <w:r>
        <w:rPr>
          <w:rFonts w:asciiTheme="majorHAnsi" w:hAnsiTheme="majorHAnsi" w:cstheme="majorHAnsi"/>
          <w:sz w:val="21"/>
          <w:szCs w:val="21"/>
        </w:rPr>
        <w:t>Vodnogospodarski</w:t>
      </w:r>
      <w:proofErr w:type="spellEnd"/>
      <w:r>
        <w:rPr>
          <w:rFonts w:asciiTheme="majorHAnsi" w:hAnsiTheme="majorHAnsi" w:cstheme="majorHAnsi"/>
          <w:sz w:val="21"/>
          <w:szCs w:val="21"/>
        </w:rPr>
        <w:t xml:space="preserve"> odjel za gornju Savu, na tem</w:t>
      </w:r>
      <w:r>
        <w:rPr>
          <w:rFonts w:asciiTheme="majorHAnsi" w:hAnsiTheme="majorHAnsi" w:cstheme="majorHAnsi"/>
          <w:sz w:val="21"/>
          <w:szCs w:val="21"/>
        </w:rPr>
        <w:t xml:space="preserve">elju članka 151. stavka 2. Zakona o vodama (NN 153/09, 130/11, 56/13 i 14/14) trgovačkom društvu Odvodnja Samobor d.o.o. su 14. lipnja 2017. godine izdale Vodopravnu dozvolu za ispuštanje voda, Klasa: UP/I-325-04/17-05/0000292, </w:t>
      </w:r>
      <w:proofErr w:type="spellStart"/>
      <w:r>
        <w:rPr>
          <w:rFonts w:asciiTheme="majorHAnsi" w:hAnsiTheme="majorHAnsi" w:cstheme="majorHAnsi"/>
          <w:sz w:val="21"/>
          <w:szCs w:val="21"/>
        </w:rPr>
        <w:t>Urbroj</w:t>
      </w:r>
      <w:proofErr w:type="spellEnd"/>
      <w:r>
        <w:rPr>
          <w:rFonts w:asciiTheme="majorHAnsi" w:hAnsiTheme="majorHAnsi" w:cstheme="majorHAnsi"/>
          <w:sz w:val="21"/>
          <w:szCs w:val="21"/>
        </w:rPr>
        <w:t>: 374-25-3-17-2. Naved</w:t>
      </w:r>
      <w:r>
        <w:rPr>
          <w:rFonts w:asciiTheme="majorHAnsi" w:hAnsiTheme="majorHAnsi" w:cstheme="majorHAnsi"/>
          <w:sz w:val="21"/>
          <w:szCs w:val="21"/>
        </w:rPr>
        <w:t xml:space="preserve">enom dozvolom određeni su uvjeti ispuštanja otpadnih voda u rijeku Savu. </w:t>
      </w:r>
    </w:p>
    <w:p w:rsidR="007A0834" w:rsidRDefault="007D4145">
      <w:pPr>
        <w:autoSpaceDE w:val="0"/>
        <w:autoSpaceDN w:val="0"/>
        <w:adjustRightInd w:val="0"/>
        <w:spacing w:after="0"/>
        <w:jc w:val="both"/>
      </w:pPr>
      <w:r>
        <w:rPr>
          <w:rFonts w:asciiTheme="majorHAnsi" w:hAnsiTheme="majorHAnsi" w:cstheme="majorHAnsi"/>
          <w:sz w:val="21"/>
          <w:szCs w:val="21"/>
        </w:rPr>
        <w:t>Vodopravnom dozvolom naloženi su poslovi čišćenja kanalizacijskih cjevovoda za potrebe utvrđivanja strukturalne stabilnosti i funkcionalnosti građevina za odvodnju otpadnih voda na p</w:t>
      </w:r>
      <w:r>
        <w:rPr>
          <w:rFonts w:asciiTheme="majorHAnsi" w:hAnsiTheme="majorHAnsi" w:cstheme="majorHAnsi"/>
          <w:sz w:val="21"/>
          <w:szCs w:val="21"/>
        </w:rPr>
        <w:t>odručju Grada Samobora i sanaciju utvrđenih strukturalnih nestabilnosti. Sukladno Vodopravnoj dozvoli, a u skladu s člankom 60. i člankom 154. točka 2. Zakona o vodama (Narodne novine 153/09, 130/11, 56/13 i 14/14) i člankom 4. stavak 2. Pravilnika o grani</w:t>
      </w:r>
      <w:r>
        <w:rPr>
          <w:rFonts w:asciiTheme="majorHAnsi" w:hAnsiTheme="majorHAnsi" w:cstheme="majorHAnsi"/>
          <w:sz w:val="21"/>
          <w:szCs w:val="21"/>
        </w:rPr>
        <w:t>čnim vrijednostima emisije otpadnih voda (Narodne novine 80/13, 43/14, 27/15 i 3/16) u kontrolnom oknu KO-1 prije ispusta u rijeku Savu te u kontrolnom oknu KO-2 prije ispusta u vodotok Bistrac određeno je obavezno uzimanje uzoraka otpadne vode te ispitiva</w:t>
      </w:r>
      <w:r>
        <w:rPr>
          <w:rFonts w:asciiTheme="majorHAnsi" w:hAnsiTheme="majorHAnsi" w:cstheme="majorHAnsi"/>
          <w:sz w:val="21"/>
          <w:szCs w:val="21"/>
        </w:rPr>
        <w:t>nje obavljati putem vanjskog ovlaštenog laboratorija najmanje 12 puta godišnje. Također je, u skladu odredbama Zakona o vodama i Pravilnika o graničnim vrijednostima emisije otpadnih voda, određeno kontinuirano praćenje količine ispuštene vode. Ovi poslovi</w:t>
      </w:r>
      <w:r>
        <w:rPr>
          <w:rFonts w:asciiTheme="majorHAnsi" w:hAnsiTheme="majorHAnsi" w:cstheme="majorHAnsi"/>
          <w:sz w:val="21"/>
          <w:szCs w:val="21"/>
        </w:rPr>
        <w:t xml:space="preserve"> prikazuju se kroz troškove održavanja mreže (</w:t>
      </w:r>
      <w:proofErr w:type="spellStart"/>
      <w:r>
        <w:rPr>
          <w:rFonts w:asciiTheme="majorHAnsi" w:hAnsiTheme="majorHAnsi" w:cstheme="majorHAnsi"/>
          <w:sz w:val="21"/>
          <w:szCs w:val="21"/>
        </w:rPr>
        <w:t>cto</w:t>
      </w:r>
      <w:proofErr w:type="spellEnd"/>
      <w:r>
        <w:rPr>
          <w:rFonts w:asciiTheme="majorHAnsi" w:hAnsiTheme="majorHAnsi" w:cstheme="majorHAnsi"/>
          <w:sz w:val="21"/>
          <w:szCs w:val="21"/>
        </w:rPr>
        <w:t xml:space="preserve"> 4128 i 4129).</w:t>
      </w:r>
      <w:r>
        <w:t xml:space="preserve"> </w:t>
      </w:r>
    </w:p>
    <w:p w:rsidR="007A0834" w:rsidRDefault="007A0834">
      <w:pPr>
        <w:spacing w:after="0" w:line="240" w:lineRule="auto"/>
        <w:jc w:val="both"/>
        <w:rPr>
          <w:rFonts w:asciiTheme="majorHAnsi" w:hAnsiTheme="majorHAnsi" w:cstheme="majorHAnsi"/>
          <w:sz w:val="21"/>
          <w:szCs w:val="21"/>
        </w:rPr>
      </w:pPr>
    </w:p>
    <w:p w:rsidR="007A0834" w:rsidRDefault="007D4145">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Prema Ugovoru o poslovnoj suradnji, naš broj Klasa: 900-01/14-01/4, </w:t>
      </w:r>
      <w:proofErr w:type="spellStart"/>
      <w:r>
        <w:rPr>
          <w:rFonts w:asciiTheme="majorHAnsi" w:hAnsiTheme="majorHAnsi" w:cstheme="majorHAnsi"/>
          <w:sz w:val="21"/>
          <w:szCs w:val="21"/>
        </w:rPr>
        <w:t>Urbroj</w:t>
      </w:r>
      <w:proofErr w:type="spellEnd"/>
      <w:r>
        <w:rPr>
          <w:rFonts w:asciiTheme="majorHAnsi" w:hAnsiTheme="majorHAnsi" w:cstheme="majorHAnsi"/>
          <w:sz w:val="21"/>
          <w:szCs w:val="21"/>
        </w:rPr>
        <w:t>: 04/02-14-1 od 31.10.2014. godine i Aneks ugovoru o poslovnoj suradnji od 9.2.2018. godine, izdavanje računa i dost</w:t>
      </w:r>
      <w:r>
        <w:rPr>
          <w:rFonts w:asciiTheme="majorHAnsi" w:hAnsiTheme="majorHAnsi" w:cstheme="majorHAnsi"/>
          <w:sz w:val="21"/>
          <w:szCs w:val="21"/>
        </w:rPr>
        <w:t xml:space="preserve">ava podataka o fakturiranim količinama i iznosima koje se odnose na uslugu odvodnje otpadnih voda, porez na dodanu vrijednost na uslugu odvodnje te naknadu za razvoj javne odvodnje obavlja trgovačko društvo Vodoopskrba i odvodnja d.o.o., Zagreb, </w:t>
      </w:r>
      <w:proofErr w:type="spellStart"/>
      <w:r>
        <w:rPr>
          <w:rFonts w:asciiTheme="majorHAnsi" w:hAnsiTheme="majorHAnsi" w:cstheme="majorHAnsi"/>
          <w:sz w:val="21"/>
          <w:szCs w:val="21"/>
        </w:rPr>
        <w:t>Folnegović</w:t>
      </w:r>
      <w:r>
        <w:rPr>
          <w:rFonts w:asciiTheme="majorHAnsi" w:hAnsiTheme="majorHAnsi" w:cstheme="majorHAnsi"/>
          <w:sz w:val="21"/>
          <w:szCs w:val="21"/>
        </w:rPr>
        <w:t>eva</w:t>
      </w:r>
      <w:proofErr w:type="spellEnd"/>
      <w:r>
        <w:rPr>
          <w:rFonts w:asciiTheme="majorHAnsi" w:hAnsiTheme="majorHAnsi" w:cstheme="majorHAnsi"/>
          <w:sz w:val="21"/>
          <w:szCs w:val="21"/>
        </w:rPr>
        <w:t xml:space="preserve"> 1, OIB 83416546499. Za ugovorene usluge obrade podataka i mjera naplate plaćaju se troškovi u visini 6% naplaćene realizacije na temelju ispostavljene fakture. Trošak obračuna i naplate odvodnje i naknade za razvoj vodi se na kontu 4164.</w:t>
      </w:r>
    </w:p>
    <w:p w:rsidR="007A0834" w:rsidRDefault="007A0834">
      <w:pPr>
        <w:spacing w:after="0" w:line="240" w:lineRule="auto"/>
        <w:jc w:val="both"/>
        <w:rPr>
          <w:rFonts w:asciiTheme="majorHAnsi" w:hAnsiTheme="majorHAnsi" w:cstheme="majorHAnsi"/>
          <w:sz w:val="21"/>
          <w:szCs w:val="21"/>
        </w:rPr>
      </w:pPr>
    </w:p>
    <w:p w:rsidR="007A0834" w:rsidRDefault="007D4145">
      <w:pPr>
        <w:spacing w:after="0" w:line="240" w:lineRule="auto"/>
        <w:jc w:val="both"/>
        <w:rPr>
          <w:rFonts w:asciiTheme="majorHAnsi" w:hAnsiTheme="majorHAnsi" w:cstheme="majorHAnsi"/>
          <w:sz w:val="21"/>
          <w:szCs w:val="21"/>
        </w:rPr>
      </w:pPr>
      <w:r>
        <w:rPr>
          <w:rFonts w:asciiTheme="majorHAnsi" w:hAnsiTheme="majorHAnsi" w:cstheme="majorHAnsi"/>
          <w:sz w:val="21"/>
          <w:szCs w:val="21"/>
        </w:rPr>
        <w:t>Čl. 17. Zakon</w:t>
      </w:r>
      <w:r>
        <w:rPr>
          <w:rFonts w:asciiTheme="majorHAnsi" w:hAnsiTheme="majorHAnsi" w:cstheme="majorHAnsi"/>
          <w:sz w:val="21"/>
          <w:szCs w:val="21"/>
        </w:rPr>
        <w:t xml:space="preserve">a o izmjenama i dopunama Zakona o financiranju vodnog gospodarstva („Narodne novine„ br. 66/19) propisao je da u roku od 30 mjeseci od stupanja na snagu navedenog Zakona javni isporučitelj vodnih usluga može koristiti do 20% prikupljenih sredstava naknade </w:t>
      </w:r>
      <w:r>
        <w:rPr>
          <w:rFonts w:asciiTheme="majorHAnsi" w:hAnsiTheme="majorHAnsi" w:cstheme="majorHAnsi"/>
          <w:sz w:val="21"/>
          <w:szCs w:val="21"/>
        </w:rPr>
        <w:t xml:space="preserve">za razvoj za pokriće troškova održavanja i pogona građevina za javnu odvodnju izgrađenih radi zaštite površinskih i podzemnih voda u zonama sanitarne zaštite, što uključuje i druge troškove koji se prema odredbama zakona kojim se uređuju vode podmiruje iz </w:t>
      </w:r>
      <w:r>
        <w:rPr>
          <w:rFonts w:asciiTheme="majorHAnsi" w:hAnsiTheme="majorHAnsi" w:cstheme="majorHAnsi"/>
          <w:sz w:val="21"/>
          <w:szCs w:val="21"/>
        </w:rPr>
        <w:t xml:space="preserve">cijene vodne usluge. </w:t>
      </w:r>
    </w:p>
    <w:p w:rsidR="007A0834" w:rsidRDefault="007A0834">
      <w:pPr>
        <w:spacing w:after="0" w:line="240" w:lineRule="auto"/>
        <w:jc w:val="both"/>
        <w:rPr>
          <w:rFonts w:asciiTheme="majorHAnsi" w:hAnsiTheme="majorHAnsi" w:cstheme="majorHAnsi"/>
          <w:sz w:val="21"/>
          <w:szCs w:val="21"/>
        </w:rPr>
      </w:pPr>
    </w:p>
    <w:p w:rsidR="007A0834" w:rsidRDefault="007D4145">
      <w:pPr>
        <w:spacing w:after="0" w:line="240" w:lineRule="auto"/>
        <w:jc w:val="both"/>
        <w:rPr>
          <w:rFonts w:asciiTheme="majorHAnsi" w:hAnsiTheme="majorHAnsi" w:cstheme="majorHAnsi"/>
          <w:sz w:val="21"/>
          <w:szCs w:val="21"/>
        </w:rPr>
      </w:pPr>
      <w:r>
        <w:rPr>
          <w:rFonts w:asciiTheme="majorHAnsi" w:hAnsiTheme="majorHAnsi" w:cstheme="majorHAnsi"/>
          <w:sz w:val="21"/>
          <w:szCs w:val="21"/>
        </w:rPr>
        <w:t>Temeljem članka 3. Uredbe o mjerilima ekonomičnog poslovanja isporučitelja vodnih usluga, dužni smo Vijeću za vodne usluge dostavljati podatke o poslovanju kroz skraćeni prikaz troškova iz članka 4. i 6. Uredbe o najnižoj osnovnoj ci</w:t>
      </w:r>
      <w:r>
        <w:rPr>
          <w:rFonts w:asciiTheme="majorHAnsi" w:hAnsiTheme="majorHAnsi" w:cstheme="majorHAnsi"/>
          <w:sz w:val="21"/>
          <w:szCs w:val="21"/>
        </w:rPr>
        <w:t>jeni vodnih usluga i vrsti troškova koje cijena vodnih usluga pokriva (Narodne novine 112/10). Samo izvješće sadrži Komparaciju ostvarenih troškova za 2011. godinu temeljem kojih su utvrđene cijene vodnih usluga koje su u primjeni sa stvarnim troškovima na</w:t>
      </w:r>
      <w:r>
        <w:rPr>
          <w:rFonts w:asciiTheme="majorHAnsi" w:hAnsiTheme="majorHAnsi" w:cstheme="majorHAnsi"/>
          <w:sz w:val="21"/>
          <w:szCs w:val="21"/>
        </w:rPr>
        <w:t>stalim u predmetnoj godini. Troškovi poslovanja se konstantno povećavaju u odnosu na bazno razdoblje zbog statutarnih promjena, uvjeta poslovanja i gospodarske situacije. Važeće cijene su formirane na temelju troškova poslovanja trgovačkog društva Komunala</w:t>
      </w:r>
      <w:r>
        <w:rPr>
          <w:rFonts w:asciiTheme="majorHAnsi" w:hAnsiTheme="majorHAnsi" w:cstheme="majorHAnsi"/>
          <w:sz w:val="21"/>
          <w:szCs w:val="21"/>
        </w:rPr>
        <w:t>c d.o.o. te su utvrđene Odlukom od 10. rujna 2011. godine trgovačkog društva Komunalac d.o.o. u čijem se sastavu u to doba obavljala djelatnost vodne usluge – odvodnje. Odvodnja Samobor d.o.o. kao pravni slijednik  primjenjuje tako donesenu cijenu od 1. si</w:t>
      </w:r>
      <w:r>
        <w:rPr>
          <w:rFonts w:asciiTheme="majorHAnsi" w:hAnsiTheme="majorHAnsi" w:cstheme="majorHAnsi"/>
          <w:sz w:val="21"/>
          <w:szCs w:val="21"/>
        </w:rPr>
        <w:t>ječnja 2014. godine.</w:t>
      </w:r>
    </w:p>
    <w:p w:rsidR="007A0834" w:rsidRDefault="007A0834">
      <w:pPr>
        <w:spacing w:after="0" w:line="240" w:lineRule="auto"/>
        <w:jc w:val="both"/>
        <w:rPr>
          <w:rFonts w:asciiTheme="majorHAnsi" w:hAnsiTheme="majorHAnsi" w:cstheme="majorHAnsi"/>
          <w:sz w:val="21"/>
          <w:szCs w:val="21"/>
        </w:rPr>
      </w:pPr>
    </w:p>
    <w:p w:rsidR="007A0834" w:rsidRDefault="007D4145">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Morali smo naći neku mjeru da voda (vodna usluga) bude svakom dostupna, ali i da ima ekonomsku održivost. Voda nije komercijalni proizvod nego opće dobro i ograničen resurs koji je potrebno zaštititi i upotrebljavati na održiv način, </w:t>
      </w:r>
      <w:r>
        <w:rPr>
          <w:rFonts w:asciiTheme="majorHAnsi" w:hAnsiTheme="majorHAnsi" w:cstheme="majorHAnsi"/>
          <w:sz w:val="21"/>
          <w:szCs w:val="21"/>
        </w:rPr>
        <w:t>kako u pogledu kvalitete tako i u pogledu količine. Iz perspektive trgovačkog društva, cijena je izvor prihoda, pa ona mora biti definirana na način da osigura profitabilno poslovanje. Odvodnja Samobor d.o.o. odlučila se na model povećanja cijene vodne usl</w:t>
      </w:r>
      <w:r>
        <w:rPr>
          <w:rFonts w:asciiTheme="majorHAnsi" w:hAnsiTheme="majorHAnsi" w:cstheme="majorHAnsi"/>
          <w:sz w:val="21"/>
          <w:szCs w:val="21"/>
        </w:rPr>
        <w:t>uge na način da se ponajprije umanji cijena naknade za razvoj sa 0,22 eura/m³ potrošene vode, na iznos 0,02 eura/m³  i da se za taj iznos poveća varijabilni dio cijene vodne usluge – odvodnje, kako bi u konačnici račun prema krajnjem potrošaču ostao neprom</w:t>
      </w:r>
      <w:r>
        <w:rPr>
          <w:rFonts w:asciiTheme="majorHAnsi" w:hAnsiTheme="majorHAnsi" w:cstheme="majorHAnsi"/>
          <w:sz w:val="21"/>
          <w:szCs w:val="21"/>
        </w:rPr>
        <w:t>ijenjen.</w:t>
      </w:r>
    </w:p>
    <w:p w:rsidR="007A0834" w:rsidRDefault="007A0834">
      <w:pPr>
        <w:spacing w:after="0" w:line="240" w:lineRule="auto"/>
        <w:jc w:val="both"/>
        <w:rPr>
          <w:rFonts w:asciiTheme="majorHAnsi" w:hAnsiTheme="majorHAnsi" w:cstheme="majorHAnsi"/>
          <w:sz w:val="21"/>
          <w:szCs w:val="21"/>
        </w:rPr>
      </w:pPr>
    </w:p>
    <w:p w:rsidR="007A0834" w:rsidRDefault="007D4145">
      <w:pPr>
        <w:spacing w:after="0" w:line="240" w:lineRule="auto"/>
        <w:jc w:val="both"/>
        <w:rPr>
          <w:rFonts w:asciiTheme="majorHAnsi" w:hAnsiTheme="majorHAnsi" w:cstheme="majorHAnsi"/>
          <w:sz w:val="21"/>
          <w:szCs w:val="21"/>
        </w:rPr>
      </w:pPr>
      <w:r>
        <w:rPr>
          <w:rFonts w:asciiTheme="majorHAnsi" w:hAnsiTheme="majorHAnsi" w:cstheme="majorHAnsi"/>
          <w:sz w:val="21"/>
          <w:szCs w:val="21"/>
        </w:rPr>
        <w:t>Na temelju članka 109. stavci 2. do 5. Zakona o vodnim uslugama (Narodne novine 66/19) i članka 11. Izjave o osnivanju trgovačkog društva Odvodnja Samobor d.o.o., a uz prethodnu suglasnost Nadzornog odbora i gradonačelnice grada Samobora donesena</w:t>
      </w:r>
      <w:r>
        <w:rPr>
          <w:rFonts w:asciiTheme="majorHAnsi" w:hAnsiTheme="majorHAnsi" w:cstheme="majorHAnsi"/>
          <w:sz w:val="21"/>
          <w:szCs w:val="21"/>
        </w:rPr>
        <w:t xml:space="preserve"> je Odluka o cijeni vodnih usluga (Glasnik zagrebačke županije br. 35/23) kojom se određuju vrste vodnih usluga, područje primjene te način obračuna i plaćanja ovih usluga.</w:t>
      </w:r>
    </w:p>
    <w:p w:rsidR="007A0834" w:rsidRDefault="007D4145">
      <w:pPr>
        <w:spacing w:after="0" w:line="240" w:lineRule="auto"/>
        <w:jc w:val="both"/>
        <w:rPr>
          <w:rFonts w:asciiTheme="majorHAnsi" w:hAnsiTheme="majorHAnsi" w:cstheme="majorHAnsi"/>
          <w:sz w:val="21"/>
          <w:szCs w:val="21"/>
        </w:rPr>
      </w:pPr>
      <w:r>
        <w:rPr>
          <w:rFonts w:asciiTheme="majorHAnsi" w:hAnsiTheme="majorHAnsi" w:cstheme="majorHAnsi"/>
          <w:sz w:val="21"/>
          <w:szCs w:val="21"/>
        </w:rPr>
        <w:t>Skupština trgovačkog društva Odvodnja Samobor d.o.o. je istovremeno donijela Odluku</w:t>
      </w:r>
      <w:r>
        <w:rPr>
          <w:rFonts w:asciiTheme="majorHAnsi" w:hAnsiTheme="majorHAnsi" w:cstheme="majorHAnsi"/>
          <w:sz w:val="21"/>
          <w:szCs w:val="21"/>
        </w:rPr>
        <w:t xml:space="preserve"> o naknadi za razvoj sustava javne odvodnje na području grada Samobora (Narodne novine br. 74/23). Početak primjene cijena po ovim odlukama je 15.07.2023. godine. </w:t>
      </w:r>
    </w:p>
    <w:p w:rsidR="007A0834" w:rsidRDefault="007A0834">
      <w:pPr>
        <w:spacing w:after="0" w:line="240" w:lineRule="auto"/>
        <w:jc w:val="both"/>
        <w:rPr>
          <w:rFonts w:asciiTheme="majorHAnsi" w:hAnsiTheme="majorHAnsi" w:cstheme="majorHAnsi"/>
          <w:sz w:val="21"/>
          <w:szCs w:val="21"/>
        </w:rPr>
      </w:pPr>
    </w:p>
    <w:p w:rsidR="007A0834" w:rsidRDefault="007A0834">
      <w:pPr>
        <w:spacing w:line="240" w:lineRule="auto"/>
        <w:jc w:val="both"/>
        <w:rPr>
          <w:rFonts w:asciiTheme="majorHAnsi" w:eastAsia="Times New Roman" w:hAnsiTheme="majorHAnsi" w:cstheme="majorHAnsi"/>
          <w:color w:val="000000" w:themeColor="text1"/>
          <w:sz w:val="21"/>
          <w:szCs w:val="21"/>
          <w:lang w:eastAsia="hr-HR"/>
        </w:rPr>
      </w:pPr>
    </w:p>
    <w:p w:rsidR="007A0834" w:rsidRDefault="007A0834">
      <w:pPr>
        <w:spacing w:line="240" w:lineRule="auto"/>
        <w:jc w:val="both"/>
        <w:rPr>
          <w:rFonts w:asciiTheme="majorHAnsi" w:eastAsia="Times New Roman" w:hAnsiTheme="majorHAnsi" w:cstheme="majorHAnsi"/>
          <w:color w:val="000000" w:themeColor="text1"/>
          <w:sz w:val="21"/>
          <w:szCs w:val="21"/>
          <w:lang w:eastAsia="hr-HR"/>
        </w:rPr>
      </w:pPr>
    </w:p>
    <w:p w:rsidR="007A0834" w:rsidRDefault="007A0834">
      <w:pPr>
        <w:spacing w:line="240" w:lineRule="auto"/>
        <w:jc w:val="both"/>
        <w:rPr>
          <w:rFonts w:asciiTheme="majorHAnsi" w:eastAsia="Times New Roman" w:hAnsiTheme="majorHAnsi" w:cstheme="majorHAnsi"/>
          <w:color w:val="000000" w:themeColor="text1"/>
          <w:sz w:val="21"/>
          <w:szCs w:val="21"/>
          <w:lang w:eastAsia="hr-HR"/>
        </w:rPr>
      </w:pPr>
    </w:p>
    <w:bookmarkEnd w:id="5"/>
    <w:bookmarkEnd w:id="6"/>
    <w:p w:rsidR="007A0834" w:rsidRDefault="007D4145">
      <w:pPr>
        <w:autoSpaceDE w:val="0"/>
        <w:autoSpaceDN w:val="0"/>
        <w:adjustRightInd w:val="0"/>
        <w:spacing w:after="0" w:line="276" w:lineRule="auto"/>
        <w:ind w:left="5670"/>
        <w:rPr>
          <w:rFonts w:asciiTheme="majorHAnsi" w:hAnsiTheme="majorHAnsi" w:cstheme="majorHAnsi"/>
          <w:sz w:val="21"/>
          <w:szCs w:val="21"/>
        </w:rPr>
      </w:pPr>
      <w:r>
        <w:rPr>
          <w:rFonts w:asciiTheme="majorHAnsi" w:hAnsiTheme="majorHAnsi" w:cstheme="majorHAnsi"/>
          <w:sz w:val="21"/>
          <w:szCs w:val="21"/>
        </w:rPr>
        <w:t>Direktor:</w:t>
      </w:r>
    </w:p>
    <w:p w:rsidR="007A0834" w:rsidRDefault="007D4145">
      <w:pPr>
        <w:autoSpaceDE w:val="0"/>
        <w:autoSpaceDN w:val="0"/>
        <w:adjustRightInd w:val="0"/>
        <w:spacing w:after="0" w:line="276" w:lineRule="auto"/>
        <w:ind w:left="5670"/>
        <w:rPr>
          <w:rFonts w:asciiTheme="majorHAnsi" w:hAnsiTheme="majorHAnsi" w:cstheme="majorHAnsi"/>
          <w:sz w:val="21"/>
          <w:szCs w:val="21"/>
        </w:rPr>
      </w:pPr>
      <w:r>
        <w:rPr>
          <w:rFonts w:asciiTheme="majorHAnsi" w:hAnsiTheme="majorHAnsi" w:cstheme="majorHAnsi"/>
          <w:sz w:val="21"/>
          <w:szCs w:val="21"/>
        </w:rPr>
        <w:t xml:space="preserve">Antonio </w:t>
      </w:r>
      <w:proofErr w:type="spellStart"/>
      <w:r>
        <w:rPr>
          <w:rFonts w:asciiTheme="majorHAnsi" w:hAnsiTheme="majorHAnsi" w:cstheme="majorHAnsi"/>
          <w:sz w:val="21"/>
          <w:szCs w:val="21"/>
        </w:rPr>
        <w:t>Širanović</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dipl.ing.sig</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ing.građ</w:t>
      </w:r>
      <w:proofErr w:type="spellEnd"/>
      <w:r>
        <w:rPr>
          <w:rFonts w:asciiTheme="majorHAnsi" w:hAnsiTheme="majorHAnsi" w:cstheme="majorHAnsi"/>
          <w:sz w:val="21"/>
          <w:szCs w:val="21"/>
        </w:rPr>
        <w:t>.</w:t>
      </w: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D4145">
      <w:pPr>
        <w:autoSpaceDE w:val="0"/>
        <w:autoSpaceDN w:val="0"/>
        <w:adjustRightInd w:val="0"/>
        <w:spacing w:after="0" w:line="276" w:lineRule="auto"/>
        <w:jc w:val="both"/>
        <w:rPr>
          <w:rFonts w:ascii="Calibri Light" w:hAnsi="Calibri Light" w:cs="Calibri Light"/>
          <w:sz w:val="21"/>
          <w:szCs w:val="21"/>
        </w:rPr>
      </w:pPr>
      <w:r>
        <w:rPr>
          <w:rFonts w:ascii="Calibri Light" w:hAnsi="Calibri Light" w:cs="Calibri Light"/>
          <w:sz w:val="21"/>
          <w:szCs w:val="21"/>
        </w:rPr>
        <w:t xml:space="preserve">Temeljem </w:t>
      </w:r>
      <w:r>
        <w:rPr>
          <w:rFonts w:ascii="Calibri Light" w:hAnsi="Calibri Light" w:cs="Calibri Light"/>
          <w:sz w:val="21"/>
          <w:szCs w:val="21"/>
        </w:rPr>
        <w:t>odredbi članka 23. stavak 1. točka 1. Zakona o vodnim uslugama (NN 66/2019) i članka 8. točke 2. alineja 10. Izjave o osnivanju društva Odvodnja Samobor d.o.o. od 28.12.2021. godine, Skupština trgovačkog društva Odvodnja Samobor d.o.o. na 9.</w:t>
      </w:r>
      <w:r>
        <w:rPr>
          <w:rFonts w:ascii="Calibri Light" w:hAnsi="Calibri Light" w:cs="Calibri Light"/>
          <w:sz w:val="21"/>
          <w:szCs w:val="21"/>
        </w:rPr>
        <w:t xml:space="preserve"> sjednici odr</w:t>
      </w:r>
      <w:r>
        <w:rPr>
          <w:rFonts w:ascii="Calibri Light" w:hAnsi="Calibri Light" w:cs="Calibri Light"/>
          <w:sz w:val="21"/>
          <w:szCs w:val="21"/>
        </w:rPr>
        <w:t>žanoj 15. 12. 2023.</w:t>
      </w:r>
      <w:bookmarkStart w:id="7" w:name="_GoBack"/>
      <w:bookmarkEnd w:id="7"/>
      <w:r>
        <w:rPr>
          <w:rFonts w:ascii="Calibri Light" w:hAnsi="Calibri Light" w:cs="Calibri Light"/>
          <w:sz w:val="21"/>
          <w:szCs w:val="21"/>
        </w:rPr>
        <w:t>, donosi</w:t>
      </w: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D4145">
      <w:pPr>
        <w:autoSpaceDE w:val="0"/>
        <w:autoSpaceDN w:val="0"/>
        <w:adjustRightInd w:val="0"/>
        <w:spacing w:after="0" w:line="276" w:lineRule="auto"/>
        <w:jc w:val="center"/>
        <w:rPr>
          <w:rFonts w:ascii="Calibri Light" w:hAnsi="Calibri Light" w:cs="Calibri Light"/>
          <w:b/>
          <w:sz w:val="21"/>
          <w:szCs w:val="21"/>
        </w:rPr>
      </w:pPr>
      <w:r>
        <w:rPr>
          <w:rFonts w:ascii="Calibri Light" w:hAnsi="Calibri Light" w:cs="Calibri Light"/>
          <w:b/>
          <w:sz w:val="21"/>
          <w:szCs w:val="21"/>
        </w:rPr>
        <w:t>O D L U K U</w:t>
      </w:r>
    </w:p>
    <w:p w:rsidR="007A0834" w:rsidRDefault="007D4145">
      <w:pPr>
        <w:autoSpaceDE w:val="0"/>
        <w:autoSpaceDN w:val="0"/>
        <w:adjustRightInd w:val="0"/>
        <w:spacing w:after="0" w:line="276" w:lineRule="auto"/>
        <w:jc w:val="center"/>
        <w:rPr>
          <w:rFonts w:ascii="Calibri Light" w:hAnsi="Calibri Light" w:cs="Calibri Light"/>
          <w:b/>
          <w:sz w:val="21"/>
          <w:szCs w:val="21"/>
        </w:rPr>
      </w:pPr>
      <w:r>
        <w:rPr>
          <w:rFonts w:ascii="Calibri Light" w:hAnsi="Calibri Light" w:cs="Calibri Light"/>
          <w:b/>
          <w:sz w:val="21"/>
          <w:szCs w:val="21"/>
        </w:rPr>
        <w:t>O USVAJANJU REBALANSA PLANA POSLOVANJA ZA 2023. GODINU</w:t>
      </w: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D4145">
      <w:pPr>
        <w:autoSpaceDE w:val="0"/>
        <w:autoSpaceDN w:val="0"/>
        <w:adjustRightInd w:val="0"/>
        <w:spacing w:after="0" w:line="276" w:lineRule="auto"/>
        <w:jc w:val="both"/>
        <w:rPr>
          <w:rFonts w:ascii="Calibri Light" w:hAnsi="Calibri Light" w:cs="Calibri Light"/>
          <w:sz w:val="21"/>
          <w:szCs w:val="21"/>
        </w:rPr>
      </w:pPr>
      <w:r>
        <w:rPr>
          <w:rFonts w:ascii="Calibri Light" w:hAnsi="Calibri Light" w:cs="Calibri Light"/>
          <w:sz w:val="21"/>
          <w:szCs w:val="21"/>
        </w:rPr>
        <w:t>Skupština Društva usvaja Rebalans plana poslovanja trgovačkog društva Odvodnja Samobor d.o.o. za 2023. godinu.</w:t>
      </w:r>
    </w:p>
    <w:p w:rsidR="007A0834" w:rsidRDefault="007A0834">
      <w:pPr>
        <w:autoSpaceDE w:val="0"/>
        <w:autoSpaceDN w:val="0"/>
        <w:adjustRightInd w:val="0"/>
        <w:spacing w:after="0" w:line="276" w:lineRule="auto"/>
        <w:jc w:val="both"/>
        <w:rPr>
          <w:rFonts w:ascii="Calibri Light" w:hAnsi="Calibri Light" w:cs="Calibri Light"/>
          <w:sz w:val="21"/>
          <w:szCs w:val="21"/>
        </w:rPr>
      </w:pPr>
    </w:p>
    <w:p w:rsidR="007A0834" w:rsidRDefault="007D4145">
      <w:pPr>
        <w:autoSpaceDE w:val="0"/>
        <w:autoSpaceDN w:val="0"/>
        <w:adjustRightInd w:val="0"/>
        <w:spacing w:after="0" w:line="276" w:lineRule="auto"/>
        <w:jc w:val="both"/>
        <w:rPr>
          <w:rFonts w:ascii="Calibri Light" w:hAnsi="Calibri Light" w:cs="Calibri Light"/>
          <w:sz w:val="21"/>
          <w:szCs w:val="21"/>
        </w:rPr>
      </w:pPr>
      <w:r>
        <w:rPr>
          <w:rFonts w:ascii="Calibri Light" w:hAnsi="Calibri Light" w:cs="Calibri Light"/>
          <w:sz w:val="21"/>
          <w:szCs w:val="21"/>
        </w:rPr>
        <w:t>Odluka stupa na snagu danom donošenja.</w:t>
      </w:r>
    </w:p>
    <w:p w:rsidR="007A0834" w:rsidRDefault="007A0834">
      <w:pPr>
        <w:autoSpaceDE w:val="0"/>
        <w:autoSpaceDN w:val="0"/>
        <w:adjustRightInd w:val="0"/>
        <w:spacing w:after="0" w:line="276" w:lineRule="auto"/>
        <w:jc w:val="both"/>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D4145">
      <w:pPr>
        <w:autoSpaceDE w:val="0"/>
        <w:autoSpaceDN w:val="0"/>
        <w:adjustRightInd w:val="0"/>
        <w:spacing w:after="0" w:line="276" w:lineRule="auto"/>
        <w:rPr>
          <w:rFonts w:ascii="Calibri Light"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Skupština Društva</w:t>
      </w: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D4145">
      <w:pPr>
        <w:autoSpaceDE w:val="0"/>
        <w:autoSpaceDN w:val="0"/>
        <w:adjustRightInd w:val="0"/>
        <w:spacing w:after="0" w:line="276" w:lineRule="auto"/>
        <w:rPr>
          <w:rFonts w:ascii="Calibri Light"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dr.sc. Petra Škrobot</w:t>
      </w: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p w:rsidR="007A0834" w:rsidRDefault="007A0834">
      <w:pPr>
        <w:autoSpaceDE w:val="0"/>
        <w:autoSpaceDN w:val="0"/>
        <w:adjustRightInd w:val="0"/>
        <w:spacing w:after="0" w:line="276" w:lineRule="auto"/>
        <w:rPr>
          <w:rFonts w:ascii="Calibri Light" w:hAnsi="Calibri Light" w:cs="Calibri Light"/>
          <w:sz w:val="21"/>
          <w:szCs w:val="21"/>
        </w:rPr>
      </w:pPr>
    </w:p>
    <w:sectPr w:rsidR="007A0834">
      <w:headerReference w:type="default" r:id="rId11"/>
      <w:footerReference w:type="default" r:id="rId12"/>
      <w:headerReference w:type="first" r:id="rId13"/>
      <w:footerReference w:type="first" r:id="rId14"/>
      <w:pgSz w:w="11906" w:h="16838" w:code="9"/>
      <w:pgMar w:top="1418" w:right="1418" w:bottom="1418"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34" w:rsidRDefault="007D4145">
      <w:pPr>
        <w:spacing w:after="0" w:line="240" w:lineRule="auto"/>
      </w:pPr>
      <w:r>
        <w:separator/>
      </w:r>
    </w:p>
  </w:endnote>
  <w:endnote w:type="continuationSeparator" w:id="0">
    <w:p w:rsidR="007A0834" w:rsidRDefault="007D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57530"/>
      <w:docPartObj>
        <w:docPartGallery w:val="Page Numbers (Bottom of Page)"/>
        <w:docPartUnique/>
      </w:docPartObj>
    </w:sdtPr>
    <w:sdtEndPr>
      <w:rPr>
        <w:noProof/>
      </w:rPr>
    </w:sdtEndPr>
    <w:sdtContent>
      <w:p w:rsidR="007A0834" w:rsidRDefault="007D4145">
        <w:pPr>
          <w:pStyle w:val="Footer"/>
          <w:jc w:val="right"/>
        </w:pPr>
        <w:r>
          <w:rPr>
            <w:color w:val="0070C0"/>
          </w:rPr>
          <w:t>__________________________________________________________________________________</w:t>
        </w: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34" w:rsidRDefault="007D4145">
    <w:pPr>
      <w:pStyle w:val="Footer"/>
    </w:pPr>
    <w:r>
      <w:rPr>
        <w:color w:val="0070C0"/>
      </w:rPr>
      <w:t>____________________________________</w:t>
    </w:r>
    <w:r>
      <w:rPr>
        <w:color w:val="0070C0"/>
      </w:rPr>
      <w:t>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34" w:rsidRDefault="007D4145">
      <w:pPr>
        <w:spacing w:after="0" w:line="240" w:lineRule="auto"/>
      </w:pPr>
      <w:r>
        <w:separator/>
      </w:r>
    </w:p>
  </w:footnote>
  <w:footnote w:type="continuationSeparator" w:id="0">
    <w:p w:rsidR="007A0834" w:rsidRDefault="007D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34" w:rsidRDefault="007D4145">
    <w:pPr>
      <w:spacing w:after="0"/>
      <w:jc w:val="center"/>
      <w:rPr>
        <w:rFonts w:asciiTheme="majorHAnsi" w:hAnsiTheme="majorHAnsi" w:cstheme="majorHAnsi"/>
      </w:rPr>
    </w:pPr>
    <w:r>
      <w:rPr>
        <w:rFonts w:asciiTheme="majorHAnsi" w:hAnsiTheme="majorHAnsi" w:cstheme="majorHAnsi"/>
      </w:rPr>
      <w:t>Odvodnja Samobor d.o.o. – Rebalans plana poslovanja za 2023. godinu</w:t>
    </w:r>
  </w:p>
  <w:p w:rsidR="007A0834" w:rsidRDefault="007D4145">
    <w:pPr>
      <w:spacing w:after="0"/>
      <w:jc w:val="center"/>
      <w:rPr>
        <w:color w:val="0070C0"/>
      </w:rPr>
    </w:pPr>
    <w:r>
      <w:rPr>
        <w:color w:val="0070C0"/>
      </w:rPr>
      <w:t>__________________________________________________________________________________</w:t>
    </w:r>
  </w:p>
  <w:p w:rsidR="007A0834" w:rsidRDefault="007A0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34" w:rsidRDefault="007D4145">
    <w:pPr>
      <w:pStyle w:val="Header"/>
      <w:jc w:val="center"/>
    </w:pPr>
    <w:r>
      <w:t xml:space="preserve">Odvodnja Samobor d.o.o. </w:t>
    </w:r>
  </w:p>
  <w:p w:rsidR="007A0834" w:rsidRDefault="007D4145">
    <w:pPr>
      <w:pStyle w:val="Header"/>
      <w:jc w:val="center"/>
      <w:rPr>
        <w:color w:val="0070C0"/>
      </w:rPr>
    </w:pPr>
    <w:r>
      <w:rPr>
        <w:color w:val="0070C0"/>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321"/>
    <w:multiLevelType w:val="hybridMultilevel"/>
    <w:tmpl w:val="68F87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462845"/>
    <w:multiLevelType w:val="hybridMultilevel"/>
    <w:tmpl w:val="4E04562A"/>
    <w:lvl w:ilvl="0" w:tplc="F8E045C6">
      <w:start w:val="13"/>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71860"/>
    <w:multiLevelType w:val="hybridMultilevel"/>
    <w:tmpl w:val="6798CBBE"/>
    <w:lvl w:ilvl="0" w:tplc="07B89F94">
      <w:start w:val="6"/>
      <w:numFmt w:val="bullet"/>
      <w:lvlText w:val="-"/>
      <w:lvlJc w:val="left"/>
      <w:pPr>
        <w:ind w:left="1068" w:hanging="360"/>
      </w:pPr>
      <w:rPr>
        <w:rFonts w:ascii="Calibri" w:eastAsiaTheme="minorHAnsi" w:hAnsi="Calibri" w:cs="TimesNewRomanPSMT"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E1D29D4"/>
    <w:multiLevelType w:val="hybridMultilevel"/>
    <w:tmpl w:val="6944ECF8"/>
    <w:lvl w:ilvl="0" w:tplc="B00E7AB8">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EC54F2F"/>
    <w:multiLevelType w:val="multilevel"/>
    <w:tmpl w:val="A588C44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F5551F5"/>
    <w:multiLevelType w:val="hybridMultilevel"/>
    <w:tmpl w:val="BBA64B70"/>
    <w:lvl w:ilvl="0" w:tplc="041A000F">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EE6DE4"/>
    <w:multiLevelType w:val="hybridMultilevel"/>
    <w:tmpl w:val="F8CC58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106FF3"/>
    <w:multiLevelType w:val="hybridMultilevel"/>
    <w:tmpl w:val="61D0F8A0"/>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9F4B37"/>
    <w:multiLevelType w:val="hybridMultilevel"/>
    <w:tmpl w:val="3516E550"/>
    <w:lvl w:ilvl="0" w:tplc="101C579A">
      <w:start w:val="19"/>
      <w:numFmt w:val="bullet"/>
      <w:lvlText w:val="-"/>
      <w:lvlJc w:val="left"/>
      <w:pPr>
        <w:ind w:left="720" w:hanging="360"/>
      </w:pPr>
      <w:rPr>
        <w:rFonts w:ascii="Times-Roman" w:eastAsiaTheme="minorHAnsi" w:hAnsi="Times-Roman" w:cs="Times-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126FD3"/>
    <w:multiLevelType w:val="hybridMultilevel"/>
    <w:tmpl w:val="C284E434"/>
    <w:lvl w:ilvl="0" w:tplc="18FCE4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06545D3"/>
    <w:multiLevelType w:val="hybridMultilevel"/>
    <w:tmpl w:val="381E4D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E87068"/>
    <w:multiLevelType w:val="hybridMultilevel"/>
    <w:tmpl w:val="229E71A0"/>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21347E"/>
    <w:multiLevelType w:val="hybridMultilevel"/>
    <w:tmpl w:val="B6E87F66"/>
    <w:lvl w:ilvl="0" w:tplc="FFEC83DA">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0A5490"/>
    <w:multiLevelType w:val="hybridMultilevel"/>
    <w:tmpl w:val="C4801C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912530"/>
    <w:multiLevelType w:val="hybridMultilevel"/>
    <w:tmpl w:val="9E98B244"/>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8941FD"/>
    <w:multiLevelType w:val="multilevel"/>
    <w:tmpl w:val="58FAFA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937762D"/>
    <w:multiLevelType w:val="hybridMultilevel"/>
    <w:tmpl w:val="76086B5E"/>
    <w:lvl w:ilvl="0" w:tplc="3C70F28C">
      <w:start w:val="750"/>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4C7558BE"/>
    <w:multiLevelType w:val="hybridMultilevel"/>
    <w:tmpl w:val="8820B684"/>
    <w:lvl w:ilvl="0" w:tplc="52723F66">
      <w:start w:val="6"/>
      <w:numFmt w:val="bullet"/>
      <w:lvlText w:val="-"/>
      <w:lvlJc w:val="left"/>
      <w:pPr>
        <w:ind w:left="720" w:hanging="360"/>
      </w:pPr>
      <w:rPr>
        <w:rFonts w:ascii="Calibri" w:eastAsiaTheme="minorHAnsi" w:hAnsi="Calibri" w:cs="TimesNewRomanPSMT"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5C2A74"/>
    <w:multiLevelType w:val="hybridMultilevel"/>
    <w:tmpl w:val="7E12D8C0"/>
    <w:lvl w:ilvl="0" w:tplc="52723F66">
      <w:start w:val="6"/>
      <w:numFmt w:val="bullet"/>
      <w:lvlText w:val="-"/>
      <w:lvlJc w:val="left"/>
      <w:pPr>
        <w:ind w:left="1068" w:hanging="360"/>
      </w:pPr>
      <w:rPr>
        <w:rFonts w:ascii="Calibri" w:eastAsiaTheme="minorHAnsi" w:hAnsi="Calibri" w:cs="TimesNewRomanPSMT"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529202E4"/>
    <w:multiLevelType w:val="hybridMultilevel"/>
    <w:tmpl w:val="24DC6190"/>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187810"/>
    <w:multiLevelType w:val="hybridMultilevel"/>
    <w:tmpl w:val="E65006A8"/>
    <w:lvl w:ilvl="0" w:tplc="1B6A0BA4">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4308EB"/>
    <w:multiLevelType w:val="hybridMultilevel"/>
    <w:tmpl w:val="76F659C8"/>
    <w:lvl w:ilvl="0" w:tplc="C8945702">
      <w:start w:val="1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36E3064"/>
    <w:multiLevelType w:val="hybridMultilevel"/>
    <w:tmpl w:val="C87EFE9A"/>
    <w:lvl w:ilvl="0" w:tplc="26E694D0">
      <w:start w:val="4"/>
      <w:numFmt w:val="bullet"/>
      <w:lvlText w:val="-"/>
      <w:lvlJc w:val="left"/>
      <w:pPr>
        <w:ind w:left="720" w:hanging="360"/>
      </w:pPr>
      <w:rPr>
        <w:rFonts w:ascii="Calibri" w:eastAsiaTheme="minorHAnsi" w:hAnsi="Calibri" w:cs="TimesNewRomanPSMT"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6DA7752"/>
    <w:multiLevelType w:val="hybridMultilevel"/>
    <w:tmpl w:val="11762EF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614BED"/>
    <w:multiLevelType w:val="multilevel"/>
    <w:tmpl w:val="00B20A66"/>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0845F6"/>
    <w:multiLevelType w:val="hybridMultilevel"/>
    <w:tmpl w:val="4C4080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C674E7"/>
    <w:multiLevelType w:val="hybridMultilevel"/>
    <w:tmpl w:val="445CE568"/>
    <w:lvl w:ilvl="0" w:tplc="54DE43E4">
      <w:start w:val="1"/>
      <w:numFmt w:val="decimal"/>
      <w:pStyle w:val="Heading1"/>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F9434E"/>
    <w:multiLevelType w:val="hybridMultilevel"/>
    <w:tmpl w:val="7862C8E4"/>
    <w:lvl w:ilvl="0" w:tplc="C9147B1C">
      <w:start w:val="750"/>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71757820"/>
    <w:multiLevelType w:val="hybridMultilevel"/>
    <w:tmpl w:val="6C72D1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3A01B96"/>
    <w:multiLevelType w:val="hybridMultilevel"/>
    <w:tmpl w:val="71146522"/>
    <w:lvl w:ilvl="0" w:tplc="18FCE4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75980D20"/>
    <w:multiLevelType w:val="hybridMultilevel"/>
    <w:tmpl w:val="61D0F8A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92C5958"/>
    <w:multiLevelType w:val="hybridMultilevel"/>
    <w:tmpl w:val="B0C88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9E5EFB"/>
    <w:multiLevelType w:val="hybridMultilevel"/>
    <w:tmpl w:val="183AD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827DED"/>
    <w:multiLevelType w:val="hybridMultilevel"/>
    <w:tmpl w:val="61D0F8A0"/>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32"/>
  </w:num>
  <w:num w:numId="3">
    <w:abstractNumId w:val="28"/>
  </w:num>
  <w:num w:numId="4">
    <w:abstractNumId w:val="0"/>
  </w:num>
  <w:num w:numId="5">
    <w:abstractNumId w:val="4"/>
  </w:num>
  <w:num w:numId="6">
    <w:abstractNumId w:val="9"/>
  </w:num>
  <w:num w:numId="7">
    <w:abstractNumId w:val="29"/>
  </w:num>
  <w:num w:numId="8">
    <w:abstractNumId w:val="2"/>
  </w:num>
  <w:num w:numId="9">
    <w:abstractNumId w:val="18"/>
  </w:num>
  <w:num w:numId="10">
    <w:abstractNumId w:val="17"/>
  </w:num>
  <w:num w:numId="11">
    <w:abstractNumId w:val="11"/>
  </w:num>
  <w:num w:numId="12">
    <w:abstractNumId w:val="19"/>
  </w:num>
  <w:num w:numId="13">
    <w:abstractNumId w:val="14"/>
  </w:num>
  <w:num w:numId="14">
    <w:abstractNumId w:val="3"/>
  </w:num>
  <w:num w:numId="15">
    <w:abstractNumId w:val="22"/>
  </w:num>
  <w:num w:numId="16">
    <w:abstractNumId w:val="13"/>
  </w:num>
  <w:num w:numId="17">
    <w:abstractNumId w:val="5"/>
  </w:num>
  <w:num w:numId="18">
    <w:abstractNumId w:val="26"/>
  </w:num>
  <w:num w:numId="19">
    <w:abstractNumId w:val="8"/>
  </w:num>
  <w:num w:numId="20">
    <w:abstractNumId w:val="30"/>
  </w:num>
  <w:num w:numId="21">
    <w:abstractNumId w:val="21"/>
  </w:num>
  <w:num w:numId="22">
    <w:abstractNumId w:val="25"/>
  </w:num>
  <w:num w:numId="23">
    <w:abstractNumId w:val="16"/>
  </w:num>
  <w:num w:numId="24">
    <w:abstractNumId w:val="27"/>
  </w:num>
  <w:num w:numId="25">
    <w:abstractNumId w:val="20"/>
  </w:num>
  <w:num w:numId="26">
    <w:abstractNumId w:val="7"/>
  </w:num>
  <w:num w:numId="27">
    <w:abstractNumId w:val="33"/>
  </w:num>
  <w:num w:numId="28">
    <w:abstractNumId w:val="1"/>
  </w:num>
  <w:num w:numId="29">
    <w:abstractNumId w:val="23"/>
  </w:num>
  <w:num w:numId="30">
    <w:abstractNumId w:val="31"/>
  </w:num>
  <w:num w:numId="31">
    <w:abstractNumId w:val="6"/>
  </w:num>
  <w:num w:numId="32">
    <w:abstractNumId w:val="10"/>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34"/>
    <w:rsid w:val="007A0834"/>
    <w:rsid w:val="007D41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8A78EF"/>
  <w15:chartTrackingRefBased/>
  <w15:docId w15:val="{200B8F57-0FC4-4391-97C7-4D78B583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8"/>
      </w:numPr>
      <w:spacing w:before="240" w:after="0"/>
      <w:ind w:left="720"/>
      <w:outlineLvl w:val="0"/>
    </w:pPr>
    <w:rPr>
      <w:rFonts w:ascii="Calibri" w:eastAsiaTheme="majorEastAsia" w:hAnsi="Calibri" w:cstheme="majorBidi"/>
      <w:b/>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heme="majorEastAsia" w:hAnsi="Calibri" w:cstheme="majorBidi"/>
      <w:b/>
      <w:color w:val="2E74B5" w:themeColor="accent1" w:themeShade="BF"/>
      <w:sz w:val="32"/>
      <w:szCs w:val="32"/>
    </w:r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tabs>
        <w:tab w:val="left" w:pos="440"/>
        <w:tab w:val="right" w:leader="dot" w:pos="9062"/>
      </w:tabs>
      <w:spacing w:after="100"/>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E74B5" w:themeColor="accent1" w:themeShade="BF"/>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tabs>
        <w:tab w:val="left" w:pos="1320"/>
        <w:tab w:val="right" w:leader="dot" w:pos="9062"/>
      </w:tabs>
      <w:spacing w:after="100"/>
      <w:ind w:left="567" w:hanging="567"/>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autoSpaceDN w:val="0"/>
      <w:spacing w:after="0" w:line="240" w:lineRule="auto"/>
      <w:jc w:val="both"/>
      <w:textAlignment w:val="baseline"/>
    </w:pPr>
    <w:rPr>
      <w:rFonts w:ascii="Calibri" w:eastAsia="Calibri" w:hAnsi="Calibri" w:cs="Times New Roman"/>
    </w:rPr>
  </w:style>
  <w:style w:type="paragraph" w:styleId="BodyText">
    <w:name w:val="Body Text"/>
    <w:basedOn w:val="Normal"/>
    <w:link w:val="BodyTextChar"/>
    <w:pPr>
      <w:spacing w:after="120"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eastAsia="hr-HR"/>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9573">
      <w:bodyDiv w:val="1"/>
      <w:marLeft w:val="0"/>
      <w:marRight w:val="0"/>
      <w:marTop w:val="0"/>
      <w:marBottom w:val="0"/>
      <w:divBdr>
        <w:top w:val="none" w:sz="0" w:space="0" w:color="auto"/>
        <w:left w:val="none" w:sz="0" w:space="0" w:color="auto"/>
        <w:bottom w:val="none" w:sz="0" w:space="0" w:color="auto"/>
        <w:right w:val="none" w:sz="0" w:space="0" w:color="auto"/>
      </w:divBdr>
    </w:div>
    <w:div w:id="58526699">
      <w:bodyDiv w:val="1"/>
      <w:marLeft w:val="0"/>
      <w:marRight w:val="0"/>
      <w:marTop w:val="0"/>
      <w:marBottom w:val="0"/>
      <w:divBdr>
        <w:top w:val="none" w:sz="0" w:space="0" w:color="auto"/>
        <w:left w:val="none" w:sz="0" w:space="0" w:color="auto"/>
        <w:bottom w:val="none" w:sz="0" w:space="0" w:color="auto"/>
        <w:right w:val="none" w:sz="0" w:space="0" w:color="auto"/>
      </w:divBdr>
    </w:div>
    <w:div w:id="141428803">
      <w:bodyDiv w:val="1"/>
      <w:marLeft w:val="0"/>
      <w:marRight w:val="0"/>
      <w:marTop w:val="0"/>
      <w:marBottom w:val="0"/>
      <w:divBdr>
        <w:top w:val="none" w:sz="0" w:space="0" w:color="auto"/>
        <w:left w:val="none" w:sz="0" w:space="0" w:color="auto"/>
        <w:bottom w:val="none" w:sz="0" w:space="0" w:color="auto"/>
        <w:right w:val="none" w:sz="0" w:space="0" w:color="auto"/>
      </w:divBdr>
    </w:div>
    <w:div w:id="178198082">
      <w:bodyDiv w:val="1"/>
      <w:marLeft w:val="0"/>
      <w:marRight w:val="0"/>
      <w:marTop w:val="0"/>
      <w:marBottom w:val="0"/>
      <w:divBdr>
        <w:top w:val="none" w:sz="0" w:space="0" w:color="auto"/>
        <w:left w:val="none" w:sz="0" w:space="0" w:color="auto"/>
        <w:bottom w:val="none" w:sz="0" w:space="0" w:color="auto"/>
        <w:right w:val="none" w:sz="0" w:space="0" w:color="auto"/>
      </w:divBdr>
    </w:div>
    <w:div w:id="182938086">
      <w:bodyDiv w:val="1"/>
      <w:marLeft w:val="0"/>
      <w:marRight w:val="0"/>
      <w:marTop w:val="0"/>
      <w:marBottom w:val="0"/>
      <w:divBdr>
        <w:top w:val="none" w:sz="0" w:space="0" w:color="auto"/>
        <w:left w:val="none" w:sz="0" w:space="0" w:color="auto"/>
        <w:bottom w:val="none" w:sz="0" w:space="0" w:color="auto"/>
        <w:right w:val="none" w:sz="0" w:space="0" w:color="auto"/>
      </w:divBdr>
    </w:div>
    <w:div w:id="199246962">
      <w:bodyDiv w:val="1"/>
      <w:marLeft w:val="0"/>
      <w:marRight w:val="0"/>
      <w:marTop w:val="0"/>
      <w:marBottom w:val="0"/>
      <w:divBdr>
        <w:top w:val="none" w:sz="0" w:space="0" w:color="auto"/>
        <w:left w:val="none" w:sz="0" w:space="0" w:color="auto"/>
        <w:bottom w:val="none" w:sz="0" w:space="0" w:color="auto"/>
        <w:right w:val="none" w:sz="0" w:space="0" w:color="auto"/>
      </w:divBdr>
    </w:div>
    <w:div w:id="218245240">
      <w:bodyDiv w:val="1"/>
      <w:marLeft w:val="0"/>
      <w:marRight w:val="0"/>
      <w:marTop w:val="0"/>
      <w:marBottom w:val="0"/>
      <w:divBdr>
        <w:top w:val="none" w:sz="0" w:space="0" w:color="auto"/>
        <w:left w:val="none" w:sz="0" w:space="0" w:color="auto"/>
        <w:bottom w:val="none" w:sz="0" w:space="0" w:color="auto"/>
        <w:right w:val="none" w:sz="0" w:space="0" w:color="auto"/>
      </w:divBdr>
    </w:div>
    <w:div w:id="261449580">
      <w:bodyDiv w:val="1"/>
      <w:marLeft w:val="0"/>
      <w:marRight w:val="0"/>
      <w:marTop w:val="0"/>
      <w:marBottom w:val="0"/>
      <w:divBdr>
        <w:top w:val="none" w:sz="0" w:space="0" w:color="auto"/>
        <w:left w:val="none" w:sz="0" w:space="0" w:color="auto"/>
        <w:bottom w:val="none" w:sz="0" w:space="0" w:color="auto"/>
        <w:right w:val="none" w:sz="0" w:space="0" w:color="auto"/>
      </w:divBdr>
    </w:div>
    <w:div w:id="280573789">
      <w:bodyDiv w:val="1"/>
      <w:marLeft w:val="0"/>
      <w:marRight w:val="0"/>
      <w:marTop w:val="0"/>
      <w:marBottom w:val="0"/>
      <w:divBdr>
        <w:top w:val="none" w:sz="0" w:space="0" w:color="auto"/>
        <w:left w:val="none" w:sz="0" w:space="0" w:color="auto"/>
        <w:bottom w:val="none" w:sz="0" w:space="0" w:color="auto"/>
        <w:right w:val="none" w:sz="0" w:space="0" w:color="auto"/>
      </w:divBdr>
    </w:div>
    <w:div w:id="346254740">
      <w:bodyDiv w:val="1"/>
      <w:marLeft w:val="0"/>
      <w:marRight w:val="0"/>
      <w:marTop w:val="0"/>
      <w:marBottom w:val="0"/>
      <w:divBdr>
        <w:top w:val="none" w:sz="0" w:space="0" w:color="auto"/>
        <w:left w:val="none" w:sz="0" w:space="0" w:color="auto"/>
        <w:bottom w:val="none" w:sz="0" w:space="0" w:color="auto"/>
        <w:right w:val="none" w:sz="0" w:space="0" w:color="auto"/>
      </w:divBdr>
    </w:div>
    <w:div w:id="388304054">
      <w:bodyDiv w:val="1"/>
      <w:marLeft w:val="0"/>
      <w:marRight w:val="0"/>
      <w:marTop w:val="0"/>
      <w:marBottom w:val="0"/>
      <w:divBdr>
        <w:top w:val="none" w:sz="0" w:space="0" w:color="auto"/>
        <w:left w:val="none" w:sz="0" w:space="0" w:color="auto"/>
        <w:bottom w:val="none" w:sz="0" w:space="0" w:color="auto"/>
        <w:right w:val="none" w:sz="0" w:space="0" w:color="auto"/>
      </w:divBdr>
    </w:div>
    <w:div w:id="426930053">
      <w:bodyDiv w:val="1"/>
      <w:marLeft w:val="0"/>
      <w:marRight w:val="0"/>
      <w:marTop w:val="0"/>
      <w:marBottom w:val="0"/>
      <w:divBdr>
        <w:top w:val="none" w:sz="0" w:space="0" w:color="auto"/>
        <w:left w:val="none" w:sz="0" w:space="0" w:color="auto"/>
        <w:bottom w:val="none" w:sz="0" w:space="0" w:color="auto"/>
        <w:right w:val="none" w:sz="0" w:space="0" w:color="auto"/>
      </w:divBdr>
    </w:div>
    <w:div w:id="445466843">
      <w:bodyDiv w:val="1"/>
      <w:marLeft w:val="0"/>
      <w:marRight w:val="0"/>
      <w:marTop w:val="0"/>
      <w:marBottom w:val="0"/>
      <w:divBdr>
        <w:top w:val="none" w:sz="0" w:space="0" w:color="auto"/>
        <w:left w:val="none" w:sz="0" w:space="0" w:color="auto"/>
        <w:bottom w:val="none" w:sz="0" w:space="0" w:color="auto"/>
        <w:right w:val="none" w:sz="0" w:space="0" w:color="auto"/>
      </w:divBdr>
    </w:div>
    <w:div w:id="496770798">
      <w:bodyDiv w:val="1"/>
      <w:marLeft w:val="0"/>
      <w:marRight w:val="0"/>
      <w:marTop w:val="0"/>
      <w:marBottom w:val="0"/>
      <w:divBdr>
        <w:top w:val="none" w:sz="0" w:space="0" w:color="auto"/>
        <w:left w:val="none" w:sz="0" w:space="0" w:color="auto"/>
        <w:bottom w:val="none" w:sz="0" w:space="0" w:color="auto"/>
        <w:right w:val="none" w:sz="0" w:space="0" w:color="auto"/>
      </w:divBdr>
    </w:div>
    <w:div w:id="569577550">
      <w:bodyDiv w:val="1"/>
      <w:marLeft w:val="0"/>
      <w:marRight w:val="0"/>
      <w:marTop w:val="0"/>
      <w:marBottom w:val="0"/>
      <w:divBdr>
        <w:top w:val="none" w:sz="0" w:space="0" w:color="auto"/>
        <w:left w:val="none" w:sz="0" w:space="0" w:color="auto"/>
        <w:bottom w:val="none" w:sz="0" w:space="0" w:color="auto"/>
        <w:right w:val="none" w:sz="0" w:space="0" w:color="auto"/>
      </w:divBdr>
    </w:div>
    <w:div w:id="588125850">
      <w:bodyDiv w:val="1"/>
      <w:marLeft w:val="0"/>
      <w:marRight w:val="0"/>
      <w:marTop w:val="0"/>
      <w:marBottom w:val="0"/>
      <w:divBdr>
        <w:top w:val="none" w:sz="0" w:space="0" w:color="auto"/>
        <w:left w:val="none" w:sz="0" w:space="0" w:color="auto"/>
        <w:bottom w:val="none" w:sz="0" w:space="0" w:color="auto"/>
        <w:right w:val="none" w:sz="0" w:space="0" w:color="auto"/>
      </w:divBdr>
    </w:div>
    <w:div w:id="743064074">
      <w:bodyDiv w:val="1"/>
      <w:marLeft w:val="0"/>
      <w:marRight w:val="0"/>
      <w:marTop w:val="0"/>
      <w:marBottom w:val="0"/>
      <w:divBdr>
        <w:top w:val="none" w:sz="0" w:space="0" w:color="auto"/>
        <w:left w:val="none" w:sz="0" w:space="0" w:color="auto"/>
        <w:bottom w:val="none" w:sz="0" w:space="0" w:color="auto"/>
        <w:right w:val="none" w:sz="0" w:space="0" w:color="auto"/>
      </w:divBdr>
    </w:div>
    <w:div w:id="750809250">
      <w:bodyDiv w:val="1"/>
      <w:marLeft w:val="0"/>
      <w:marRight w:val="0"/>
      <w:marTop w:val="0"/>
      <w:marBottom w:val="0"/>
      <w:divBdr>
        <w:top w:val="none" w:sz="0" w:space="0" w:color="auto"/>
        <w:left w:val="none" w:sz="0" w:space="0" w:color="auto"/>
        <w:bottom w:val="none" w:sz="0" w:space="0" w:color="auto"/>
        <w:right w:val="none" w:sz="0" w:space="0" w:color="auto"/>
      </w:divBdr>
    </w:div>
    <w:div w:id="767431865">
      <w:bodyDiv w:val="1"/>
      <w:marLeft w:val="0"/>
      <w:marRight w:val="0"/>
      <w:marTop w:val="0"/>
      <w:marBottom w:val="0"/>
      <w:divBdr>
        <w:top w:val="none" w:sz="0" w:space="0" w:color="auto"/>
        <w:left w:val="none" w:sz="0" w:space="0" w:color="auto"/>
        <w:bottom w:val="none" w:sz="0" w:space="0" w:color="auto"/>
        <w:right w:val="none" w:sz="0" w:space="0" w:color="auto"/>
      </w:divBdr>
    </w:div>
    <w:div w:id="820999868">
      <w:bodyDiv w:val="1"/>
      <w:marLeft w:val="0"/>
      <w:marRight w:val="0"/>
      <w:marTop w:val="0"/>
      <w:marBottom w:val="0"/>
      <w:divBdr>
        <w:top w:val="none" w:sz="0" w:space="0" w:color="auto"/>
        <w:left w:val="none" w:sz="0" w:space="0" w:color="auto"/>
        <w:bottom w:val="none" w:sz="0" w:space="0" w:color="auto"/>
        <w:right w:val="none" w:sz="0" w:space="0" w:color="auto"/>
      </w:divBdr>
    </w:div>
    <w:div w:id="829101388">
      <w:bodyDiv w:val="1"/>
      <w:marLeft w:val="0"/>
      <w:marRight w:val="0"/>
      <w:marTop w:val="0"/>
      <w:marBottom w:val="0"/>
      <w:divBdr>
        <w:top w:val="none" w:sz="0" w:space="0" w:color="auto"/>
        <w:left w:val="none" w:sz="0" w:space="0" w:color="auto"/>
        <w:bottom w:val="none" w:sz="0" w:space="0" w:color="auto"/>
        <w:right w:val="none" w:sz="0" w:space="0" w:color="auto"/>
      </w:divBdr>
    </w:div>
    <w:div w:id="892152821">
      <w:bodyDiv w:val="1"/>
      <w:marLeft w:val="0"/>
      <w:marRight w:val="0"/>
      <w:marTop w:val="0"/>
      <w:marBottom w:val="0"/>
      <w:divBdr>
        <w:top w:val="none" w:sz="0" w:space="0" w:color="auto"/>
        <w:left w:val="none" w:sz="0" w:space="0" w:color="auto"/>
        <w:bottom w:val="none" w:sz="0" w:space="0" w:color="auto"/>
        <w:right w:val="none" w:sz="0" w:space="0" w:color="auto"/>
      </w:divBdr>
    </w:div>
    <w:div w:id="999622335">
      <w:bodyDiv w:val="1"/>
      <w:marLeft w:val="0"/>
      <w:marRight w:val="0"/>
      <w:marTop w:val="0"/>
      <w:marBottom w:val="0"/>
      <w:divBdr>
        <w:top w:val="none" w:sz="0" w:space="0" w:color="auto"/>
        <w:left w:val="none" w:sz="0" w:space="0" w:color="auto"/>
        <w:bottom w:val="none" w:sz="0" w:space="0" w:color="auto"/>
        <w:right w:val="none" w:sz="0" w:space="0" w:color="auto"/>
      </w:divBdr>
    </w:div>
    <w:div w:id="1043939949">
      <w:bodyDiv w:val="1"/>
      <w:marLeft w:val="0"/>
      <w:marRight w:val="0"/>
      <w:marTop w:val="0"/>
      <w:marBottom w:val="0"/>
      <w:divBdr>
        <w:top w:val="none" w:sz="0" w:space="0" w:color="auto"/>
        <w:left w:val="none" w:sz="0" w:space="0" w:color="auto"/>
        <w:bottom w:val="none" w:sz="0" w:space="0" w:color="auto"/>
        <w:right w:val="none" w:sz="0" w:space="0" w:color="auto"/>
      </w:divBdr>
    </w:div>
    <w:div w:id="1312559912">
      <w:bodyDiv w:val="1"/>
      <w:marLeft w:val="0"/>
      <w:marRight w:val="0"/>
      <w:marTop w:val="0"/>
      <w:marBottom w:val="0"/>
      <w:divBdr>
        <w:top w:val="none" w:sz="0" w:space="0" w:color="auto"/>
        <w:left w:val="none" w:sz="0" w:space="0" w:color="auto"/>
        <w:bottom w:val="none" w:sz="0" w:space="0" w:color="auto"/>
        <w:right w:val="none" w:sz="0" w:space="0" w:color="auto"/>
      </w:divBdr>
    </w:div>
    <w:div w:id="1557470121">
      <w:bodyDiv w:val="1"/>
      <w:marLeft w:val="0"/>
      <w:marRight w:val="0"/>
      <w:marTop w:val="0"/>
      <w:marBottom w:val="0"/>
      <w:divBdr>
        <w:top w:val="none" w:sz="0" w:space="0" w:color="auto"/>
        <w:left w:val="none" w:sz="0" w:space="0" w:color="auto"/>
        <w:bottom w:val="none" w:sz="0" w:space="0" w:color="auto"/>
        <w:right w:val="none" w:sz="0" w:space="0" w:color="auto"/>
      </w:divBdr>
    </w:div>
    <w:div w:id="1565212635">
      <w:bodyDiv w:val="1"/>
      <w:marLeft w:val="0"/>
      <w:marRight w:val="0"/>
      <w:marTop w:val="0"/>
      <w:marBottom w:val="0"/>
      <w:divBdr>
        <w:top w:val="none" w:sz="0" w:space="0" w:color="auto"/>
        <w:left w:val="none" w:sz="0" w:space="0" w:color="auto"/>
        <w:bottom w:val="none" w:sz="0" w:space="0" w:color="auto"/>
        <w:right w:val="none" w:sz="0" w:space="0" w:color="auto"/>
      </w:divBdr>
    </w:div>
    <w:div w:id="1584561311">
      <w:bodyDiv w:val="1"/>
      <w:marLeft w:val="0"/>
      <w:marRight w:val="0"/>
      <w:marTop w:val="0"/>
      <w:marBottom w:val="0"/>
      <w:divBdr>
        <w:top w:val="none" w:sz="0" w:space="0" w:color="auto"/>
        <w:left w:val="none" w:sz="0" w:space="0" w:color="auto"/>
        <w:bottom w:val="none" w:sz="0" w:space="0" w:color="auto"/>
        <w:right w:val="none" w:sz="0" w:space="0" w:color="auto"/>
      </w:divBdr>
    </w:div>
    <w:div w:id="1628656078">
      <w:bodyDiv w:val="1"/>
      <w:marLeft w:val="0"/>
      <w:marRight w:val="0"/>
      <w:marTop w:val="0"/>
      <w:marBottom w:val="0"/>
      <w:divBdr>
        <w:top w:val="none" w:sz="0" w:space="0" w:color="auto"/>
        <w:left w:val="none" w:sz="0" w:space="0" w:color="auto"/>
        <w:bottom w:val="none" w:sz="0" w:space="0" w:color="auto"/>
        <w:right w:val="none" w:sz="0" w:space="0" w:color="auto"/>
      </w:divBdr>
    </w:div>
    <w:div w:id="1629357728">
      <w:bodyDiv w:val="1"/>
      <w:marLeft w:val="0"/>
      <w:marRight w:val="0"/>
      <w:marTop w:val="0"/>
      <w:marBottom w:val="0"/>
      <w:divBdr>
        <w:top w:val="none" w:sz="0" w:space="0" w:color="auto"/>
        <w:left w:val="none" w:sz="0" w:space="0" w:color="auto"/>
        <w:bottom w:val="none" w:sz="0" w:space="0" w:color="auto"/>
        <w:right w:val="none" w:sz="0" w:space="0" w:color="auto"/>
      </w:divBdr>
    </w:div>
    <w:div w:id="1654407726">
      <w:bodyDiv w:val="1"/>
      <w:marLeft w:val="0"/>
      <w:marRight w:val="0"/>
      <w:marTop w:val="0"/>
      <w:marBottom w:val="0"/>
      <w:divBdr>
        <w:top w:val="none" w:sz="0" w:space="0" w:color="auto"/>
        <w:left w:val="none" w:sz="0" w:space="0" w:color="auto"/>
        <w:bottom w:val="none" w:sz="0" w:space="0" w:color="auto"/>
        <w:right w:val="none" w:sz="0" w:space="0" w:color="auto"/>
      </w:divBdr>
    </w:div>
    <w:div w:id="1668512341">
      <w:bodyDiv w:val="1"/>
      <w:marLeft w:val="0"/>
      <w:marRight w:val="0"/>
      <w:marTop w:val="0"/>
      <w:marBottom w:val="0"/>
      <w:divBdr>
        <w:top w:val="none" w:sz="0" w:space="0" w:color="auto"/>
        <w:left w:val="none" w:sz="0" w:space="0" w:color="auto"/>
        <w:bottom w:val="none" w:sz="0" w:space="0" w:color="auto"/>
        <w:right w:val="none" w:sz="0" w:space="0" w:color="auto"/>
      </w:divBdr>
    </w:div>
    <w:div w:id="1678262509">
      <w:bodyDiv w:val="1"/>
      <w:marLeft w:val="0"/>
      <w:marRight w:val="0"/>
      <w:marTop w:val="0"/>
      <w:marBottom w:val="0"/>
      <w:divBdr>
        <w:top w:val="none" w:sz="0" w:space="0" w:color="auto"/>
        <w:left w:val="none" w:sz="0" w:space="0" w:color="auto"/>
        <w:bottom w:val="none" w:sz="0" w:space="0" w:color="auto"/>
        <w:right w:val="none" w:sz="0" w:space="0" w:color="auto"/>
      </w:divBdr>
    </w:div>
    <w:div w:id="1760640601">
      <w:bodyDiv w:val="1"/>
      <w:marLeft w:val="0"/>
      <w:marRight w:val="0"/>
      <w:marTop w:val="0"/>
      <w:marBottom w:val="0"/>
      <w:divBdr>
        <w:top w:val="none" w:sz="0" w:space="0" w:color="auto"/>
        <w:left w:val="none" w:sz="0" w:space="0" w:color="auto"/>
        <w:bottom w:val="none" w:sz="0" w:space="0" w:color="auto"/>
        <w:right w:val="none" w:sz="0" w:space="0" w:color="auto"/>
      </w:divBdr>
    </w:div>
    <w:div w:id="1869441935">
      <w:bodyDiv w:val="1"/>
      <w:marLeft w:val="0"/>
      <w:marRight w:val="0"/>
      <w:marTop w:val="0"/>
      <w:marBottom w:val="0"/>
      <w:divBdr>
        <w:top w:val="none" w:sz="0" w:space="0" w:color="auto"/>
        <w:left w:val="none" w:sz="0" w:space="0" w:color="auto"/>
        <w:bottom w:val="none" w:sz="0" w:space="0" w:color="auto"/>
        <w:right w:val="none" w:sz="0" w:space="0" w:color="auto"/>
      </w:divBdr>
    </w:div>
    <w:div w:id="1902279120">
      <w:bodyDiv w:val="1"/>
      <w:marLeft w:val="0"/>
      <w:marRight w:val="0"/>
      <w:marTop w:val="0"/>
      <w:marBottom w:val="0"/>
      <w:divBdr>
        <w:top w:val="none" w:sz="0" w:space="0" w:color="auto"/>
        <w:left w:val="none" w:sz="0" w:space="0" w:color="auto"/>
        <w:bottom w:val="none" w:sz="0" w:space="0" w:color="auto"/>
        <w:right w:val="none" w:sz="0" w:space="0" w:color="auto"/>
      </w:divBdr>
    </w:div>
    <w:div w:id="20588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DC957ECA7C364FA42FFA747EC8AAEF" ma:contentTypeVersion="9" ma:contentTypeDescription="Stvaranje novog dokumenta." ma:contentTypeScope="" ma:versionID="7f987ced26145aa398b216c0a0b77cd7">
  <xsd:schema xmlns:xsd="http://www.w3.org/2001/XMLSchema" xmlns:xs="http://www.w3.org/2001/XMLSchema" xmlns:p="http://schemas.microsoft.com/office/2006/metadata/properties" xmlns:ns3="d3f8bf22-b207-418f-8fa5-ebe9bf87b4f5" targetNamespace="http://schemas.microsoft.com/office/2006/metadata/properties" ma:root="true" ma:fieldsID="2114ab96fa34c7ff8e59660cdb0ec484" ns3:_="">
    <xsd:import namespace="d3f8bf22-b207-418f-8fa5-ebe9bf87b4f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bf22-b207-418f-8fa5-ebe9bf87b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E04-1634-4085-87E9-B57ED6B428E8}">
  <ds:schemaRefs>
    <ds:schemaRef ds:uri="http://schemas.microsoft.com/sharepoint/v3/contenttype/forms"/>
  </ds:schemaRefs>
</ds:datastoreItem>
</file>

<file path=customXml/itemProps2.xml><?xml version="1.0" encoding="utf-8"?>
<ds:datastoreItem xmlns:ds="http://schemas.openxmlformats.org/officeDocument/2006/customXml" ds:itemID="{8F4969C3-E219-4275-A828-B345BBEBCF46}">
  <ds:schemaRefs>
    <ds:schemaRef ds:uri="http://purl.org/dc/elements/1.1/"/>
    <ds:schemaRef ds:uri="http://purl.org/dc/terms/"/>
    <ds:schemaRef ds:uri="http://schemas.openxmlformats.org/package/2006/metadata/core-properties"/>
    <ds:schemaRef ds:uri="http://purl.org/dc/dcmitype/"/>
    <ds:schemaRef ds:uri="d3f8bf22-b207-418f-8fa5-ebe9bf87b4f5"/>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BE792C6-045E-47D9-A2EC-64807706E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bf22-b207-418f-8fa5-ebe9bf87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0DE7E-B7F4-4E8E-B617-C5562AB6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2023-12-14T12:51:00Z</cp:lastPrinted>
  <dcterms:created xsi:type="dcterms:W3CDTF">2023-10-30T08:09:00Z</dcterms:created>
  <dcterms:modified xsi:type="dcterms:W3CDTF">2023-12-14T12:51:00Z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0x0101003DDC957ECA7C364FA42FFA747EC8AAEF</vt:lpwstr>
  </property>
</Properties>
</file>